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E5014" w14:textId="77777777" w:rsidR="003275E0" w:rsidRPr="00B23106" w:rsidRDefault="00961DDC" w:rsidP="00961DDC">
      <w:pPr>
        <w:spacing w:line="480" w:lineRule="auto"/>
        <w:jc w:val="center"/>
        <w:rPr>
          <w:b/>
        </w:rPr>
      </w:pPr>
      <w:bookmarkStart w:id="0" w:name="_GoBack"/>
      <w:bookmarkEnd w:id="0"/>
      <w:r w:rsidRPr="00B23106">
        <w:rPr>
          <w:b/>
        </w:rPr>
        <w:t>Abstract</w:t>
      </w:r>
    </w:p>
    <w:p w14:paraId="55361255" w14:textId="2AF7B18A" w:rsidR="00037EB3" w:rsidRDefault="00037EB3" w:rsidP="00037EB3">
      <w:pPr>
        <w:pStyle w:val="1aabstract"/>
        <w:rPr>
          <w:color w:val="000000" w:themeColor="text1"/>
        </w:rPr>
      </w:pPr>
      <w:r w:rsidRPr="00645668">
        <w:t>Learner perceptions toward and utilization of L1 glossed feedback in an automated writing evaluation (AWE) program were investigated in an Intensive English Program (IEP) class.</w:t>
      </w:r>
      <w:r>
        <w:t xml:space="preserve"> </w:t>
      </w:r>
      <w:r w:rsidRPr="00645668">
        <w:t xml:space="preserve">This small case study focused on two Chinese students who responded </w:t>
      </w:r>
      <w:r>
        <w:t xml:space="preserve">to </w:t>
      </w:r>
      <w:r w:rsidRPr="00645668">
        <w:t>weekly surveys, semi-structured interviews, and screen capture videos of their revisions over a four</w:t>
      </w:r>
      <w:r>
        <w:t>-</w:t>
      </w:r>
      <w:r w:rsidRPr="00645668">
        <w:t>week period.</w:t>
      </w:r>
      <w:r>
        <w:t xml:space="preserve"> </w:t>
      </w:r>
      <w:r w:rsidRPr="00645668">
        <w:t>In weeks 1 and 3, the students received English-only feedback (L2), and in weeks 2 and 4, the students also received feedback in their native language (L1).</w:t>
      </w:r>
      <w:r>
        <w:t xml:space="preserve"> </w:t>
      </w:r>
      <w:r w:rsidRPr="00645668">
        <w:t>The data were recorded, transcribed, and coded.</w:t>
      </w:r>
      <w:r>
        <w:t xml:space="preserve"> </w:t>
      </w:r>
      <w:r w:rsidRPr="00645668">
        <w:t>Because the L1 has been shown to be helpful in students’ learning, it was hoped that the L1 glossed feedback in AWE would prove helpful as well.</w:t>
      </w:r>
      <w:r>
        <w:t xml:space="preserve"> </w:t>
      </w:r>
      <w:r w:rsidRPr="00645668">
        <w:t>The participants felt a need for the glosses but also expressed reservations about relying on the L1.</w:t>
      </w:r>
      <w:r>
        <w:t xml:space="preserve"> </w:t>
      </w:r>
      <w:r w:rsidRPr="00645668">
        <w:t xml:space="preserve">While the </w:t>
      </w:r>
      <w:r w:rsidRPr="00645668">
        <w:rPr>
          <w:color w:val="000000" w:themeColor="text1"/>
        </w:rPr>
        <w:t>participants’ revision behaviors sometimes differed, both</w:t>
      </w:r>
      <w:r w:rsidRPr="00645668">
        <w:t xml:space="preserve"> showed a positive attitude toward the L1 glossed feedback, toward increased noticing of errors, </w:t>
      </w:r>
      <w:r w:rsidRPr="00645668">
        <w:rPr>
          <w:color w:val="000000" w:themeColor="text1"/>
        </w:rPr>
        <w:t>and toward their autonomy while using AWE.</w:t>
      </w:r>
    </w:p>
    <w:p w14:paraId="7B62B978" w14:textId="77777777" w:rsidR="00037EB3" w:rsidRPr="00001341" w:rsidRDefault="00037EB3" w:rsidP="00037EB3">
      <w:pPr>
        <w:pStyle w:val="1aabstract"/>
      </w:pPr>
    </w:p>
    <w:p w14:paraId="166A1AA7" w14:textId="77777777" w:rsidR="00037EB3" w:rsidRPr="000516BE" w:rsidRDefault="00037EB3" w:rsidP="00037EB3">
      <w:pPr>
        <w:pStyle w:val="1bkeywords"/>
      </w:pPr>
      <w:r w:rsidRPr="00645668">
        <w:t xml:space="preserve">Keywords: </w:t>
      </w:r>
      <w:r>
        <w:t>a</w:t>
      </w:r>
      <w:r w:rsidRPr="00645668">
        <w:t xml:space="preserve">utomated writing evaluation, autonomy, </w:t>
      </w:r>
      <w:r>
        <w:t>l</w:t>
      </w:r>
      <w:r w:rsidRPr="00645668">
        <w:t>1 glossed feedback, perceptions</w:t>
      </w:r>
    </w:p>
    <w:p w14:paraId="7F8D2EFD" w14:textId="77777777" w:rsidR="00037EB3" w:rsidRDefault="00037EB3" w:rsidP="00037EB3">
      <w:pPr>
        <w:pStyle w:val="1text"/>
      </w:pPr>
    </w:p>
    <w:p w14:paraId="7BADCADE" w14:textId="77777777" w:rsidR="00961DDC" w:rsidRDefault="00961DDC" w:rsidP="00B15831">
      <w:pPr>
        <w:spacing w:line="480" w:lineRule="auto"/>
        <w:jc w:val="center"/>
      </w:pPr>
    </w:p>
    <w:p w14:paraId="74C3EEC9" w14:textId="77777777" w:rsidR="002476C5" w:rsidRPr="001531ED" w:rsidRDefault="00961DDC" w:rsidP="00961DDC">
      <w:pPr>
        <w:spacing w:line="480" w:lineRule="auto"/>
        <w:jc w:val="center"/>
        <w:rPr>
          <w:b/>
        </w:rPr>
      </w:pPr>
      <w:r w:rsidRPr="001531ED">
        <w:rPr>
          <w:b/>
        </w:rPr>
        <w:t>References</w:t>
      </w:r>
    </w:p>
    <w:p w14:paraId="1BAC9C58" w14:textId="77777777" w:rsidR="00221469" w:rsidRPr="00693FC4" w:rsidRDefault="00221469" w:rsidP="00221469">
      <w:pPr>
        <w:pStyle w:val="5bibliography"/>
      </w:pPr>
      <w:r w:rsidRPr="00693FC4">
        <w:t xml:space="preserve">Antón, M., &amp; DiCamilla, F. (1998). Socio-cognitive functions of L1 collaborative interaction in the L2 classroom. </w:t>
      </w:r>
      <w:r w:rsidRPr="00693FC4">
        <w:rPr>
          <w:i/>
          <w:iCs/>
        </w:rPr>
        <w:t>Canadian Modern Language Review/La Revue canadienne des langues vivantes</w:t>
      </w:r>
      <w:r w:rsidRPr="001576A6">
        <w:rPr>
          <w:i/>
          <w:iCs/>
        </w:rPr>
        <w:t xml:space="preserve">, </w:t>
      </w:r>
      <w:r w:rsidRPr="00693FC4">
        <w:rPr>
          <w:i/>
          <w:iCs/>
        </w:rPr>
        <w:t>54</w:t>
      </w:r>
      <w:r w:rsidRPr="00693FC4">
        <w:t>(3), 314–342.</w:t>
      </w:r>
      <w:r>
        <w:t xml:space="preserve"> </w:t>
      </w:r>
      <w:hyperlink r:id="rId7" w:history="1">
        <w:r w:rsidRPr="00DE5D57">
          <w:rPr>
            <w:rStyle w:val="Hyperlink"/>
          </w:rPr>
          <w:t>https://doi.org/10.3138/cmlr.54.3.314</w:t>
        </w:r>
      </w:hyperlink>
    </w:p>
    <w:p w14:paraId="47F6913E" w14:textId="77777777" w:rsidR="00221469" w:rsidRPr="00693FC4" w:rsidRDefault="00221469" w:rsidP="00221469">
      <w:pPr>
        <w:pStyle w:val="5bibliography"/>
      </w:pPr>
      <w:r w:rsidRPr="00693FC4">
        <w:t>Atkinson, D. (1987). The mother tongue in the classroom: A neglected resource?</w:t>
      </w:r>
      <w:r>
        <w:t xml:space="preserve">  </w:t>
      </w:r>
      <w:r w:rsidRPr="00693FC4">
        <w:rPr>
          <w:i/>
          <w:iCs/>
        </w:rPr>
        <w:t>ELT</w:t>
      </w:r>
      <w:r>
        <w:rPr>
          <w:i/>
          <w:iCs/>
        </w:rPr>
        <w:t xml:space="preserve"> </w:t>
      </w:r>
      <w:r w:rsidRPr="00693FC4">
        <w:rPr>
          <w:i/>
          <w:iCs/>
        </w:rPr>
        <w:t>Journal</w:t>
      </w:r>
      <w:r w:rsidRPr="001576A6">
        <w:rPr>
          <w:i/>
          <w:iCs/>
        </w:rPr>
        <w:t xml:space="preserve">, </w:t>
      </w:r>
      <w:r w:rsidRPr="00693FC4">
        <w:rPr>
          <w:i/>
          <w:iCs/>
        </w:rPr>
        <w:t>41</w:t>
      </w:r>
      <w:r w:rsidRPr="00693FC4">
        <w:t>(4), 241–247.</w:t>
      </w:r>
      <w:r>
        <w:t xml:space="preserve"> </w:t>
      </w:r>
      <w:hyperlink r:id="rId8" w:history="1">
        <w:r w:rsidRPr="00DE5D57">
          <w:rPr>
            <w:rStyle w:val="Hyperlink"/>
          </w:rPr>
          <w:t>https://doi.org/10.1093/elt/41.4.241</w:t>
        </w:r>
      </w:hyperlink>
    </w:p>
    <w:p w14:paraId="592ED6FB" w14:textId="77777777" w:rsidR="00221469" w:rsidRPr="00693FC4" w:rsidRDefault="00221469" w:rsidP="00221469">
      <w:pPr>
        <w:pStyle w:val="5bibliography"/>
      </w:pPr>
      <w:r w:rsidRPr="00693FC4">
        <w:t>Attali, Y. (2004). Exploring the feedback and revision features of Criterion. Paper presented at the National Council on Measurement in Education, San Diego, CA.</w:t>
      </w:r>
    </w:p>
    <w:p w14:paraId="74FA44C1" w14:textId="77777777" w:rsidR="00221469" w:rsidRPr="00693FC4" w:rsidRDefault="00221469" w:rsidP="00221469">
      <w:pPr>
        <w:pStyle w:val="5bibliography"/>
      </w:pPr>
      <w:r w:rsidRPr="00693FC4">
        <w:t xml:space="preserve">Bitchener, J. (2008). Evidence in support of written corrective feedback. </w:t>
      </w:r>
      <w:r w:rsidRPr="00693FC4">
        <w:rPr>
          <w:i/>
          <w:iCs/>
        </w:rPr>
        <w:t>Journal of Second Language Writing</w:t>
      </w:r>
      <w:r w:rsidRPr="001576A6">
        <w:rPr>
          <w:i/>
          <w:iCs/>
        </w:rPr>
        <w:t xml:space="preserve">, </w:t>
      </w:r>
      <w:r w:rsidRPr="00693FC4">
        <w:rPr>
          <w:i/>
          <w:iCs/>
        </w:rPr>
        <w:t>17</w:t>
      </w:r>
      <w:r w:rsidRPr="00693FC4">
        <w:t>(2), 102–118.</w:t>
      </w:r>
      <w:r>
        <w:t xml:space="preserve"> </w:t>
      </w:r>
      <w:hyperlink r:id="rId9" w:history="1">
        <w:r w:rsidRPr="00DE5D57">
          <w:rPr>
            <w:rStyle w:val="Hyperlink"/>
          </w:rPr>
          <w:t>https://doi.org/10.1016/j.jslw.2007.11.004</w:t>
        </w:r>
      </w:hyperlink>
    </w:p>
    <w:p w14:paraId="402C9DB2" w14:textId="77777777" w:rsidR="00221469" w:rsidRPr="00693FC4" w:rsidRDefault="00221469" w:rsidP="00221469">
      <w:pPr>
        <w:pStyle w:val="5bibliography"/>
      </w:pPr>
      <w:r w:rsidRPr="00693FC4">
        <w:t xml:space="preserve">Brooks, F. B., &amp; Donato, R. (1994). Vygotskyan approaches to understanding foreign language learner discourse during communicative tasks. </w:t>
      </w:r>
      <w:r w:rsidRPr="00693FC4">
        <w:rPr>
          <w:i/>
          <w:iCs/>
        </w:rPr>
        <w:t>Hispania</w:t>
      </w:r>
      <w:r>
        <w:rPr>
          <w:i/>
          <w:iCs/>
        </w:rPr>
        <w:t>, 77</w:t>
      </w:r>
      <w:r>
        <w:t>(2)</w:t>
      </w:r>
      <w:r w:rsidRPr="00693FC4">
        <w:t>, 262–274.</w:t>
      </w:r>
      <w:r>
        <w:t xml:space="preserve"> </w:t>
      </w:r>
      <w:hyperlink r:id="rId10" w:history="1">
        <w:r w:rsidRPr="00DE5D57">
          <w:rPr>
            <w:rStyle w:val="Hyperlink"/>
          </w:rPr>
          <w:t>https://doi.org/10.2307/344508</w:t>
        </w:r>
      </w:hyperlink>
    </w:p>
    <w:p w14:paraId="0AAA79A1" w14:textId="77777777" w:rsidR="00221469" w:rsidRPr="00693FC4" w:rsidRDefault="00221469" w:rsidP="00221469">
      <w:pPr>
        <w:pStyle w:val="5bibliography"/>
      </w:pPr>
      <w:r w:rsidRPr="00693FC4">
        <w:t xml:space="preserve">Burstein, J., &amp; Wolska, M. (2003, April). Toward evaluation of writing style: Finding overly repetitive word use in student essays. In </w:t>
      </w:r>
      <w:r w:rsidRPr="00693FC4">
        <w:rPr>
          <w:i/>
          <w:iCs/>
        </w:rPr>
        <w:t xml:space="preserve">Proceedings of the tenth conference on European chapter of the Association for Computational Linguistics, </w:t>
      </w:r>
      <w:r w:rsidRPr="00693FC4">
        <w:t>35–42.</w:t>
      </w:r>
    </w:p>
    <w:p w14:paraId="4908BF4C" w14:textId="77777777" w:rsidR="00221469" w:rsidRPr="00645668" w:rsidRDefault="00221469" w:rsidP="00221469">
      <w:pPr>
        <w:pStyle w:val="5bibliography"/>
        <w:rPr>
          <w:color w:val="222222"/>
        </w:rPr>
      </w:pPr>
      <w:r w:rsidRPr="00693FC4">
        <w:rPr>
          <w:color w:val="222222"/>
        </w:rPr>
        <w:t xml:space="preserve">Chen, </w:t>
      </w:r>
      <w:r>
        <w:rPr>
          <w:color w:val="222222"/>
        </w:rPr>
        <w:t xml:space="preserve">I </w:t>
      </w:r>
      <w:r w:rsidRPr="00693FC4">
        <w:rPr>
          <w:color w:val="222222"/>
        </w:rPr>
        <w:t>C. F. E., &amp; Cheng, W. Y. E. (2008). Beyond the design of automated writing evaluation: Pedagogi</w:t>
      </w:r>
      <w:r w:rsidRPr="00645668">
        <w:rPr>
          <w:color w:val="222222"/>
        </w:rPr>
        <w:t xml:space="preserve">cal practices and perceived learning effectiveness in EFL writing classes. </w:t>
      </w:r>
      <w:r w:rsidRPr="00645668">
        <w:rPr>
          <w:i/>
          <w:iCs/>
          <w:color w:val="222222"/>
        </w:rPr>
        <w:t>Language Learning &amp; Technology</w:t>
      </w:r>
      <w:r w:rsidRPr="001576A6">
        <w:rPr>
          <w:i/>
          <w:iCs/>
          <w:color w:val="222222"/>
        </w:rPr>
        <w:t xml:space="preserve">, </w:t>
      </w:r>
      <w:r w:rsidRPr="00645668">
        <w:rPr>
          <w:i/>
          <w:iCs/>
          <w:color w:val="222222"/>
        </w:rPr>
        <w:t>12</w:t>
      </w:r>
      <w:r w:rsidRPr="00645668">
        <w:rPr>
          <w:color w:val="222222"/>
        </w:rPr>
        <w:t>(2), 94</w:t>
      </w:r>
      <w:r>
        <w:rPr>
          <w:color w:val="222222"/>
        </w:rPr>
        <w:t>–</w:t>
      </w:r>
      <w:r w:rsidRPr="00645668">
        <w:rPr>
          <w:color w:val="222222"/>
        </w:rPr>
        <w:t>112.</w:t>
      </w:r>
    </w:p>
    <w:p w14:paraId="6F9FAE15" w14:textId="77777777" w:rsidR="00221469" w:rsidRPr="00693FC4" w:rsidRDefault="00221469" w:rsidP="00221469">
      <w:pPr>
        <w:pStyle w:val="5bibliography"/>
        <w:rPr>
          <w:color w:val="222222"/>
          <w:shd w:val="clear" w:color="auto" w:fill="FFFFFF"/>
          <w:lang w:val="es-MX"/>
        </w:rPr>
      </w:pPr>
      <w:r w:rsidRPr="00693FC4">
        <w:rPr>
          <w:color w:val="222222"/>
          <w:shd w:val="clear" w:color="auto" w:fill="FFFFFF"/>
        </w:rPr>
        <w:t>Cook, V. (2001). Using the first language in the classroom.</w:t>
      </w:r>
      <w:r w:rsidRPr="00693FC4">
        <w:rPr>
          <w:rStyle w:val="apple-converted-space"/>
          <w:color w:val="222222"/>
          <w:shd w:val="clear" w:color="auto" w:fill="FFFFFF"/>
        </w:rPr>
        <w:t xml:space="preserve"> </w:t>
      </w:r>
      <w:r w:rsidRPr="00693FC4">
        <w:rPr>
          <w:i/>
          <w:iCs/>
          <w:color w:val="222222"/>
          <w:shd w:val="clear" w:color="auto" w:fill="FFFFFF"/>
          <w:lang w:val="es-MX"/>
        </w:rPr>
        <w:t>Canadian Modern Language Review/La Revue canadienne des langues vivantes</w:t>
      </w:r>
      <w:r w:rsidRPr="001576A6">
        <w:rPr>
          <w:i/>
          <w:iCs/>
          <w:color w:val="222222"/>
          <w:shd w:val="clear" w:color="auto" w:fill="FFFFFF"/>
          <w:lang w:val="es-MX"/>
        </w:rPr>
        <w:t>,</w:t>
      </w:r>
      <w:r w:rsidRPr="001576A6">
        <w:rPr>
          <w:rStyle w:val="apple-converted-space"/>
          <w:i/>
          <w:iCs/>
          <w:color w:val="222222"/>
          <w:shd w:val="clear" w:color="auto" w:fill="FFFFFF"/>
          <w:lang w:val="es-MX"/>
        </w:rPr>
        <w:t xml:space="preserve"> </w:t>
      </w:r>
      <w:r w:rsidRPr="00693FC4">
        <w:rPr>
          <w:i/>
          <w:iCs/>
          <w:color w:val="222222"/>
          <w:shd w:val="clear" w:color="auto" w:fill="FFFFFF"/>
          <w:lang w:val="es-MX"/>
        </w:rPr>
        <w:t>57</w:t>
      </w:r>
      <w:r w:rsidRPr="00693FC4">
        <w:rPr>
          <w:color w:val="222222"/>
          <w:shd w:val="clear" w:color="auto" w:fill="FFFFFF"/>
          <w:lang w:val="es-MX"/>
        </w:rPr>
        <w:t>(3), 402–423.</w:t>
      </w:r>
      <w:r>
        <w:rPr>
          <w:color w:val="222222"/>
          <w:shd w:val="clear" w:color="auto" w:fill="FFFFFF"/>
          <w:lang w:val="es-MX"/>
        </w:rPr>
        <w:t xml:space="preserve"> </w:t>
      </w:r>
      <w:hyperlink r:id="rId11" w:history="1">
        <w:r w:rsidRPr="00DE5D57">
          <w:rPr>
            <w:rStyle w:val="Hyperlink"/>
            <w:shd w:val="clear" w:color="auto" w:fill="FFFFFF"/>
            <w:lang w:val="es-MX"/>
          </w:rPr>
          <w:t>https://doi.org/10.3138/cmlr.57.3.402</w:t>
        </w:r>
      </w:hyperlink>
    </w:p>
    <w:p w14:paraId="5BE655E9" w14:textId="77777777" w:rsidR="00221469" w:rsidRPr="00693FC4" w:rsidRDefault="00221469" w:rsidP="00221469">
      <w:pPr>
        <w:pStyle w:val="5bibliography"/>
        <w:rPr>
          <w:color w:val="222222"/>
          <w:shd w:val="clear" w:color="auto" w:fill="FFFFFF"/>
        </w:rPr>
      </w:pPr>
      <w:r w:rsidRPr="00693FC4">
        <w:rPr>
          <w:color w:val="222222"/>
          <w:shd w:val="clear" w:color="auto" w:fill="FFFFFF"/>
          <w:lang w:val="es-MX"/>
        </w:rPr>
        <w:t xml:space="preserve">Cotos, E. (2011). </w:t>
      </w:r>
      <w:r w:rsidRPr="00693FC4">
        <w:rPr>
          <w:color w:val="222222"/>
          <w:shd w:val="clear" w:color="auto" w:fill="FFFFFF"/>
        </w:rPr>
        <w:t>Potential of automated writing evaluation feedback.</w:t>
      </w:r>
      <w:r w:rsidRPr="00693FC4">
        <w:rPr>
          <w:rStyle w:val="apple-converted-space"/>
          <w:color w:val="222222"/>
          <w:shd w:val="clear" w:color="auto" w:fill="FFFFFF"/>
        </w:rPr>
        <w:t xml:space="preserve"> </w:t>
      </w:r>
      <w:r w:rsidRPr="00693FC4">
        <w:rPr>
          <w:i/>
          <w:iCs/>
          <w:color w:val="222222"/>
          <w:shd w:val="clear" w:color="auto" w:fill="FFFFFF"/>
        </w:rPr>
        <w:t>CALICO Journal</w:t>
      </w:r>
      <w:r w:rsidRPr="001576A6">
        <w:rPr>
          <w:i/>
          <w:iCs/>
          <w:color w:val="222222"/>
          <w:shd w:val="clear" w:color="auto" w:fill="FFFFFF"/>
        </w:rPr>
        <w:t>,</w:t>
      </w:r>
      <w:r w:rsidRPr="001576A6">
        <w:rPr>
          <w:rStyle w:val="apple-converted-space"/>
          <w:i/>
          <w:iCs/>
          <w:color w:val="222222"/>
          <w:shd w:val="clear" w:color="auto" w:fill="FFFFFF"/>
        </w:rPr>
        <w:t xml:space="preserve"> </w:t>
      </w:r>
      <w:r w:rsidRPr="00693FC4">
        <w:rPr>
          <w:i/>
          <w:iCs/>
          <w:color w:val="222222"/>
          <w:shd w:val="clear" w:color="auto" w:fill="FFFFFF"/>
        </w:rPr>
        <w:t>28</w:t>
      </w:r>
      <w:r w:rsidRPr="00693FC4">
        <w:rPr>
          <w:color w:val="222222"/>
          <w:shd w:val="clear" w:color="auto" w:fill="FFFFFF"/>
        </w:rPr>
        <w:t>(2), 420–459.</w:t>
      </w:r>
      <w:r>
        <w:rPr>
          <w:color w:val="222222"/>
          <w:shd w:val="clear" w:color="auto" w:fill="FFFFFF"/>
        </w:rPr>
        <w:t xml:space="preserve"> </w:t>
      </w:r>
      <w:hyperlink r:id="rId12" w:history="1">
        <w:r w:rsidRPr="00DE5D57">
          <w:rPr>
            <w:rStyle w:val="Hyperlink"/>
            <w:shd w:val="clear" w:color="auto" w:fill="FFFFFF"/>
          </w:rPr>
          <w:t>https://doi.org/10.11139/cj.28.2.420-459</w:t>
        </w:r>
      </w:hyperlink>
    </w:p>
    <w:p w14:paraId="2E7AB645" w14:textId="77777777" w:rsidR="00221469" w:rsidRPr="00693FC4" w:rsidRDefault="00221469" w:rsidP="00221469">
      <w:pPr>
        <w:pStyle w:val="5bibliography"/>
      </w:pPr>
      <w:r w:rsidRPr="00693FC4">
        <w:t xml:space="preserve">Enright, M. K., &amp; Quinlan, T. (2010). Completing human judgment of essays written by English language learners with e-rater scoring. </w:t>
      </w:r>
      <w:r w:rsidRPr="001576A6">
        <w:rPr>
          <w:i/>
          <w:iCs/>
        </w:rPr>
        <w:t>Language Testing, 27</w:t>
      </w:r>
      <w:r w:rsidRPr="00693FC4">
        <w:t>(3), 317–334.</w:t>
      </w:r>
      <w:r>
        <w:t xml:space="preserve"> </w:t>
      </w:r>
      <w:hyperlink r:id="rId13" w:history="1">
        <w:r w:rsidRPr="00DE5D57">
          <w:rPr>
            <w:rStyle w:val="Hyperlink"/>
          </w:rPr>
          <w:t>https://doi.org/10.1177/0265532210363144</w:t>
        </w:r>
      </w:hyperlink>
    </w:p>
    <w:p w14:paraId="34AF3AC0" w14:textId="77777777" w:rsidR="00221469" w:rsidRDefault="00221469" w:rsidP="00221469">
      <w:pPr>
        <w:pStyle w:val="5bibliography"/>
        <w:rPr>
          <w:color w:val="222222"/>
          <w:shd w:val="clear" w:color="auto" w:fill="FFFFFF"/>
        </w:rPr>
      </w:pPr>
      <w:r w:rsidRPr="00693FC4">
        <w:rPr>
          <w:color w:val="222222"/>
          <w:shd w:val="clear" w:color="auto" w:fill="FFFFFF"/>
        </w:rPr>
        <w:t>Esterberg, K. G. (2002).</w:t>
      </w:r>
      <w:r w:rsidRPr="00693FC4">
        <w:rPr>
          <w:rStyle w:val="apple-converted-space"/>
          <w:color w:val="222222"/>
          <w:shd w:val="clear" w:color="auto" w:fill="FFFFFF"/>
        </w:rPr>
        <w:t xml:space="preserve"> </w:t>
      </w:r>
      <w:r w:rsidRPr="00693FC4">
        <w:rPr>
          <w:i/>
          <w:iCs/>
          <w:color w:val="222222"/>
          <w:shd w:val="clear" w:color="auto" w:fill="FFFFFF"/>
        </w:rPr>
        <w:t>Qualitative methods in social research</w:t>
      </w:r>
      <w:r w:rsidRPr="00693FC4">
        <w:rPr>
          <w:color w:val="222222"/>
          <w:shd w:val="clear" w:color="auto" w:fill="FFFFFF"/>
        </w:rPr>
        <w:t>. Boston, MA: McGraw-Hil</w:t>
      </w:r>
      <w:r>
        <w:rPr>
          <w:color w:val="222222"/>
          <w:shd w:val="clear" w:color="auto" w:fill="FFFFFF"/>
        </w:rPr>
        <w:t>l.</w:t>
      </w:r>
    </w:p>
    <w:p w14:paraId="416DAEBE" w14:textId="77777777" w:rsidR="00221469" w:rsidRPr="00026AF9" w:rsidRDefault="00221469" w:rsidP="00221469">
      <w:pPr>
        <w:pStyle w:val="5bibliography"/>
        <w:rPr>
          <w:rFonts w:ascii="Arial" w:hAnsi="Arial" w:cs="Arial"/>
          <w:color w:val="32322F"/>
          <w:sz w:val="19"/>
          <w:szCs w:val="19"/>
        </w:rPr>
      </w:pPr>
      <w:r>
        <w:rPr>
          <w:color w:val="222222"/>
          <w:shd w:val="clear" w:color="auto" w:fill="FFFFFF"/>
        </w:rPr>
        <w:t xml:space="preserve">Folse, K. (2004).  </w:t>
      </w:r>
      <w:r w:rsidRPr="001576A6">
        <w:rPr>
          <w:i/>
          <w:color w:val="222222"/>
          <w:shd w:val="clear" w:color="auto" w:fill="FFFFFF"/>
        </w:rPr>
        <w:t>Vocabulary myths:  Applying second language research to classroom teaching</w:t>
      </w:r>
      <w:r>
        <w:rPr>
          <w:i/>
          <w:color w:val="222222"/>
          <w:shd w:val="clear" w:color="auto" w:fill="FFFFFF"/>
        </w:rPr>
        <w:t xml:space="preserve">.  </w:t>
      </w:r>
      <w:r w:rsidRPr="001576A6">
        <w:rPr>
          <w:color w:val="222222"/>
          <w:shd w:val="clear" w:color="auto" w:fill="FFFFFF"/>
        </w:rPr>
        <w:t>Ann Arbor</w:t>
      </w:r>
      <w:r>
        <w:rPr>
          <w:color w:val="222222"/>
          <w:shd w:val="clear" w:color="auto" w:fill="FFFFFF"/>
        </w:rPr>
        <w:t>, MI</w:t>
      </w:r>
      <w:r w:rsidRPr="001576A6">
        <w:rPr>
          <w:color w:val="222222"/>
          <w:shd w:val="clear" w:color="auto" w:fill="FFFFFF"/>
        </w:rPr>
        <w:t>:  University of Michigan Press</w:t>
      </w:r>
      <w:r>
        <w:rPr>
          <w:color w:val="222222"/>
          <w:shd w:val="clear" w:color="auto" w:fill="FFFFFF"/>
        </w:rPr>
        <w:t>, 1-181.</w:t>
      </w:r>
    </w:p>
    <w:p w14:paraId="27D58472" w14:textId="77777777" w:rsidR="00221469" w:rsidRPr="00693FC4" w:rsidRDefault="00221469" w:rsidP="00221469">
      <w:pPr>
        <w:pStyle w:val="5bibliography"/>
      </w:pPr>
      <w:r>
        <w:t>G</w:t>
      </w:r>
      <w:r w:rsidRPr="00693FC4">
        <w:t xml:space="preserve">oh, S. C. (2002). Managing effective knowledge transfer: An integrative framework and some practice implications. </w:t>
      </w:r>
      <w:r w:rsidRPr="00693FC4">
        <w:rPr>
          <w:i/>
          <w:iCs/>
        </w:rPr>
        <w:t>Journal of Knowledge Management</w:t>
      </w:r>
      <w:r w:rsidRPr="001576A6">
        <w:rPr>
          <w:i/>
          <w:iCs/>
        </w:rPr>
        <w:t xml:space="preserve">, </w:t>
      </w:r>
      <w:r w:rsidRPr="00693FC4">
        <w:rPr>
          <w:i/>
          <w:iCs/>
        </w:rPr>
        <w:t>6</w:t>
      </w:r>
      <w:r w:rsidRPr="00693FC4">
        <w:t>(1), 23–30.</w:t>
      </w:r>
      <w:r>
        <w:t xml:space="preserve"> </w:t>
      </w:r>
      <w:hyperlink r:id="rId14" w:history="1">
        <w:r w:rsidRPr="00B918EE">
          <w:rPr>
            <w:rStyle w:val="Hyperlink"/>
          </w:rPr>
          <w:t>https://doi.org/10.1108/13673270210417664</w:t>
        </w:r>
      </w:hyperlink>
    </w:p>
    <w:p w14:paraId="4546BF96" w14:textId="77777777" w:rsidR="00221469" w:rsidRDefault="00221469" w:rsidP="00221469">
      <w:pPr>
        <w:pStyle w:val="5bibliography"/>
      </w:pPr>
      <w:r w:rsidRPr="00693FC4">
        <w:t xml:space="preserve">Grimes, D., &amp; Warschauer, M. (2010). Utility in a fallible tool: A multi-site case study of automated writing evaluation. </w:t>
      </w:r>
      <w:r w:rsidRPr="00693FC4">
        <w:rPr>
          <w:i/>
          <w:iCs/>
        </w:rPr>
        <w:t xml:space="preserve">The </w:t>
      </w:r>
      <w:r w:rsidRPr="00693FC4">
        <w:rPr>
          <w:i/>
          <w:iCs/>
        </w:rPr>
        <w:lastRenderedPageBreak/>
        <w:t>Journal of Technology, Learning, and Assessment, 8</w:t>
      </w:r>
      <w:r w:rsidRPr="00693FC4">
        <w:t>(6)</w:t>
      </w:r>
      <w:r>
        <w:t>, 1-42.</w:t>
      </w:r>
      <w:r w:rsidRPr="00693FC4" w:rsidDel="003A2BE0">
        <w:t xml:space="preserve"> </w:t>
      </w:r>
      <w:r>
        <w:t>Retrieved May 2016</w:t>
      </w:r>
      <w:r w:rsidRPr="00F51218">
        <w:t xml:space="preserve"> from http://www.jtla.org.</w:t>
      </w:r>
    </w:p>
    <w:p w14:paraId="4630C3D8" w14:textId="77777777" w:rsidR="00221469" w:rsidRPr="00693FC4" w:rsidRDefault="00221469" w:rsidP="00221469">
      <w:pPr>
        <w:pStyle w:val="5bibliography"/>
      </w:pPr>
      <w:r w:rsidRPr="00693FC4">
        <w:t xml:space="preserve">Guénette, D. (2007). Is feedback pedagogically correct?: Research design issues in studies of feedback on writing. </w:t>
      </w:r>
      <w:r w:rsidRPr="00693FC4">
        <w:rPr>
          <w:i/>
          <w:iCs/>
        </w:rPr>
        <w:t>Journal of Second Language Writing</w:t>
      </w:r>
      <w:r w:rsidRPr="00693FC4">
        <w:t xml:space="preserve">, </w:t>
      </w:r>
      <w:r w:rsidRPr="00693FC4">
        <w:rPr>
          <w:i/>
          <w:iCs/>
        </w:rPr>
        <w:t>16</w:t>
      </w:r>
      <w:r>
        <w:t>(1)</w:t>
      </w:r>
      <w:r w:rsidRPr="00693FC4">
        <w:t>, 40–53.</w:t>
      </w:r>
      <w:r>
        <w:t xml:space="preserve"> </w:t>
      </w:r>
      <w:hyperlink r:id="rId15" w:history="1">
        <w:r w:rsidRPr="00B918EE">
          <w:rPr>
            <w:rStyle w:val="Hyperlink"/>
          </w:rPr>
          <w:t>https://doi.org/10.1016/j.jslw.2007.01.001</w:t>
        </w:r>
      </w:hyperlink>
    </w:p>
    <w:p w14:paraId="57D613F4" w14:textId="77777777" w:rsidR="00221469" w:rsidRPr="00693FC4" w:rsidRDefault="00221469" w:rsidP="00221469">
      <w:pPr>
        <w:pStyle w:val="5bibliography"/>
      </w:pPr>
      <w:r w:rsidRPr="00693FC4">
        <w:t xml:space="preserve">Hegelheimer, V., &amp; Tower, D. (2004). Using CALL in the classroom: Analyzing student interactions in an authentic classroom. </w:t>
      </w:r>
      <w:r w:rsidRPr="00693FC4">
        <w:rPr>
          <w:i/>
          <w:iCs/>
        </w:rPr>
        <w:t>System</w:t>
      </w:r>
      <w:r w:rsidRPr="001576A6">
        <w:rPr>
          <w:i/>
          <w:iCs/>
        </w:rPr>
        <w:t xml:space="preserve">, </w:t>
      </w:r>
      <w:r w:rsidRPr="00693FC4">
        <w:rPr>
          <w:i/>
          <w:iCs/>
        </w:rPr>
        <w:t>32</w:t>
      </w:r>
      <w:r w:rsidRPr="00693FC4">
        <w:t>(2), 185–205.</w:t>
      </w:r>
      <w:r>
        <w:t xml:space="preserve"> </w:t>
      </w:r>
      <w:hyperlink r:id="rId16" w:history="1">
        <w:r w:rsidRPr="00B918EE">
          <w:rPr>
            <w:rStyle w:val="Hyperlink"/>
          </w:rPr>
          <w:t>https://doi.org/10.1016/j.system.2003.11.007</w:t>
        </w:r>
      </w:hyperlink>
    </w:p>
    <w:p w14:paraId="4AC8535A" w14:textId="77777777" w:rsidR="00221469" w:rsidRDefault="00221469" w:rsidP="00221469">
      <w:pPr>
        <w:pStyle w:val="5bibliography"/>
        <w:rPr>
          <w:color w:val="222222"/>
          <w:shd w:val="clear" w:color="auto" w:fill="FFFFFF"/>
        </w:rPr>
      </w:pPr>
      <w:r w:rsidRPr="00693FC4">
        <w:rPr>
          <w:color w:val="222222"/>
          <w:shd w:val="clear" w:color="auto" w:fill="FFFFFF"/>
        </w:rPr>
        <w:t>Hubbard, P. (2004). Learner</w:t>
      </w:r>
      <w:r w:rsidRPr="00645668">
        <w:rPr>
          <w:color w:val="222222"/>
          <w:shd w:val="clear" w:color="auto" w:fill="FFFFFF"/>
        </w:rPr>
        <w:t xml:space="preserve"> training for effective use of CALL.</w:t>
      </w:r>
      <w:r>
        <w:rPr>
          <w:rStyle w:val="apple-converted-space"/>
          <w:color w:val="222222"/>
          <w:shd w:val="clear" w:color="auto" w:fill="FFFFFF"/>
        </w:rPr>
        <w:t xml:space="preserve"> In Fotos, S. and Browne, C. M. (Eds.), </w:t>
      </w:r>
      <w:r w:rsidRPr="00645668">
        <w:rPr>
          <w:i/>
          <w:iCs/>
          <w:color w:val="222222"/>
          <w:shd w:val="clear" w:color="auto" w:fill="FFFFFF"/>
        </w:rPr>
        <w:t>New perspectives on CALL for second language classrooms</w:t>
      </w:r>
      <w:r>
        <w:rPr>
          <w:color w:val="222222"/>
          <w:shd w:val="clear" w:color="auto" w:fill="FFFFFF"/>
        </w:rPr>
        <w:t>.</w:t>
      </w:r>
      <w:r w:rsidRPr="00645668">
        <w:rPr>
          <w:color w:val="222222"/>
          <w:shd w:val="clear" w:color="auto" w:fill="FFFFFF"/>
        </w:rPr>
        <w:t xml:space="preserve"> </w:t>
      </w:r>
      <w:r>
        <w:rPr>
          <w:color w:val="222222"/>
          <w:shd w:val="clear" w:color="auto" w:fill="FFFFFF"/>
        </w:rPr>
        <w:t xml:space="preserve">London, England: Taylor &amp; Francis; Routledge, </w:t>
      </w:r>
      <w:r w:rsidRPr="00645668">
        <w:rPr>
          <w:color w:val="222222"/>
          <w:shd w:val="clear" w:color="auto" w:fill="FFFFFF"/>
        </w:rPr>
        <w:t>45-68.</w:t>
      </w:r>
    </w:p>
    <w:p w14:paraId="02328A20" w14:textId="77777777" w:rsidR="00221469" w:rsidRPr="00693FC4" w:rsidRDefault="00221469" w:rsidP="00221469">
      <w:pPr>
        <w:pStyle w:val="5bibliography"/>
      </w:pPr>
      <w:r w:rsidRPr="00693FC4">
        <w:t xml:space="preserve">Hulstijn, J. H., Hollander, M., and Greidanus, T. (1996). Incidental vocabulary learning by advanced foreign language students: The influence of marginal glosses, dictionary use, and reoccurrence of unknown words. </w:t>
      </w:r>
      <w:r w:rsidRPr="00693FC4">
        <w:rPr>
          <w:i/>
          <w:iCs/>
        </w:rPr>
        <w:t>The Modern Language Journal</w:t>
      </w:r>
      <w:r w:rsidRPr="001576A6">
        <w:rPr>
          <w:i/>
          <w:iCs/>
        </w:rPr>
        <w:t xml:space="preserve">, </w:t>
      </w:r>
      <w:r w:rsidRPr="001576A6">
        <w:rPr>
          <w:i/>
          <w:iCs/>
          <w:color w:val="auto"/>
        </w:rPr>
        <w:t>80</w:t>
      </w:r>
      <w:r w:rsidRPr="001576A6">
        <w:rPr>
          <w:color w:val="auto"/>
        </w:rPr>
        <w:t xml:space="preserve">(3), </w:t>
      </w:r>
      <w:r w:rsidRPr="00693FC4">
        <w:t>327–339.</w:t>
      </w:r>
      <w:r>
        <w:t xml:space="preserve"> </w:t>
      </w:r>
      <w:hyperlink r:id="rId17" w:history="1">
        <w:r w:rsidRPr="00B918EE">
          <w:rPr>
            <w:rStyle w:val="Hyperlink"/>
          </w:rPr>
          <w:t>https://doi.org/10.1111/j.1540-4781.1996.tb01614.x</w:t>
        </w:r>
      </w:hyperlink>
    </w:p>
    <w:p w14:paraId="67E9ACB6" w14:textId="77777777" w:rsidR="00221469" w:rsidRPr="00693FC4" w:rsidRDefault="00221469" w:rsidP="00221469">
      <w:pPr>
        <w:pStyle w:val="5bibliography"/>
      </w:pPr>
      <w:r w:rsidRPr="00693FC4">
        <w:t xml:space="preserve">Hyland, K., &amp; Hyland, F. (2006). </w:t>
      </w:r>
      <w:r w:rsidRPr="00693FC4">
        <w:rPr>
          <w:i/>
          <w:iCs/>
        </w:rPr>
        <w:t>Feedback in second language writing: Contexts and issues</w:t>
      </w:r>
      <w:r w:rsidRPr="00693FC4">
        <w:t>. Cambridge</w:t>
      </w:r>
      <w:r>
        <w:t>, England</w:t>
      </w:r>
      <w:r w:rsidRPr="00693FC4">
        <w:t>: Cambridge University Press.</w:t>
      </w:r>
      <w:r>
        <w:t xml:space="preserve"> </w:t>
      </w:r>
      <w:hyperlink r:id="rId18" w:history="1">
        <w:r w:rsidRPr="00B918EE">
          <w:rPr>
            <w:rStyle w:val="Hyperlink"/>
          </w:rPr>
          <w:t>https://doi.org/10.1017/CBO9781139524742</w:t>
        </w:r>
      </w:hyperlink>
    </w:p>
    <w:p w14:paraId="0A93C014" w14:textId="77777777" w:rsidR="00221469" w:rsidRPr="00693FC4" w:rsidRDefault="00221469" w:rsidP="00221469">
      <w:pPr>
        <w:pStyle w:val="5bibliography"/>
        <w:rPr>
          <w:color w:val="222222"/>
          <w:shd w:val="clear" w:color="auto" w:fill="FFFFFF"/>
        </w:rPr>
      </w:pPr>
      <w:r w:rsidRPr="00693FC4">
        <w:rPr>
          <w:color w:val="222222"/>
          <w:shd w:val="clear" w:color="auto" w:fill="FFFFFF"/>
        </w:rPr>
        <w:t>Jacobs, G. M., Dufon, P., &amp; Fong, F. C. (1994). L1 and L2 vocabulary glosses in L2 reading passages: Their effectiveness for increasing comprehension and vocabulary knowledge.</w:t>
      </w:r>
      <w:r w:rsidRPr="00693FC4">
        <w:rPr>
          <w:rStyle w:val="apple-converted-space"/>
          <w:color w:val="222222"/>
          <w:shd w:val="clear" w:color="auto" w:fill="FFFFFF"/>
        </w:rPr>
        <w:t xml:space="preserve"> </w:t>
      </w:r>
      <w:r w:rsidRPr="00693FC4">
        <w:rPr>
          <w:i/>
          <w:iCs/>
          <w:color w:val="222222"/>
          <w:shd w:val="clear" w:color="auto" w:fill="FFFFFF"/>
        </w:rPr>
        <w:t>Journal of Research in Reading</w:t>
      </w:r>
      <w:r w:rsidRPr="001576A6">
        <w:rPr>
          <w:i/>
          <w:iCs/>
          <w:color w:val="222222"/>
          <w:shd w:val="clear" w:color="auto" w:fill="FFFFFF"/>
        </w:rPr>
        <w:t>,</w:t>
      </w:r>
      <w:r w:rsidRPr="001576A6">
        <w:rPr>
          <w:rStyle w:val="apple-converted-space"/>
          <w:i/>
          <w:iCs/>
          <w:color w:val="222222"/>
          <w:shd w:val="clear" w:color="auto" w:fill="FFFFFF"/>
        </w:rPr>
        <w:t xml:space="preserve"> </w:t>
      </w:r>
      <w:r w:rsidRPr="00693FC4">
        <w:rPr>
          <w:i/>
          <w:iCs/>
          <w:color w:val="222222"/>
          <w:shd w:val="clear" w:color="auto" w:fill="FFFFFF"/>
        </w:rPr>
        <w:t>17</w:t>
      </w:r>
      <w:r w:rsidRPr="00693FC4">
        <w:rPr>
          <w:color w:val="222222"/>
          <w:shd w:val="clear" w:color="auto" w:fill="FFFFFF"/>
        </w:rPr>
        <w:t>(1), 19–28.</w:t>
      </w:r>
      <w:r>
        <w:rPr>
          <w:color w:val="222222"/>
          <w:shd w:val="clear" w:color="auto" w:fill="FFFFFF"/>
        </w:rPr>
        <w:t xml:space="preserve"> </w:t>
      </w:r>
      <w:hyperlink r:id="rId19" w:history="1">
        <w:r w:rsidRPr="00B918EE">
          <w:rPr>
            <w:rStyle w:val="Hyperlink"/>
            <w:shd w:val="clear" w:color="auto" w:fill="FFFFFF"/>
          </w:rPr>
          <w:t>https://doi.org/10.1111/j.1467-9817.1994.tb00049.x</w:t>
        </w:r>
      </w:hyperlink>
    </w:p>
    <w:p w14:paraId="613C7058" w14:textId="77777777" w:rsidR="00221469" w:rsidRPr="00693FC4" w:rsidRDefault="00221469" w:rsidP="00221469">
      <w:pPr>
        <w:pStyle w:val="5bibliography"/>
        <w:rPr>
          <w:color w:val="222222"/>
          <w:shd w:val="clear" w:color="auto" w:fill="FFFFFF"/>
        </w:rPr>
      </w:pPr>
      <w:r w:rsidRPr="00693FC4">
        <w:rPr>
          <w:color w:val="222222"/>
          <w:shd w:val="clear" w:color="auto" w:fill="FFFFFF"/>
        </w:rPr>
        <w:t>Krashen, S.</w:t>
      </w:r>
      <w:r>
        <w:rPr>
          <w:color w:val="222222"/>
          <w:shd w:val="clear" w:color="auto" w:fill="FFFFFF"/>
        </w:rPr>
        <w:t xml:space="preserve"> D. (</w:t>
      </w:r>
      <w:r w:rsidRPr="00693FC4">
        <w:rPr>
          <w:color w:val="222222"/>
          <w:shd w:val="clear" w:color="auto" w:fill="FFFFFF"/>
        </w:rPr>
        <w:t>1985</w:t>
      </w:r>
      <w:r>
        <w:rPr>
          <w:color w:val="222222"/>
          <w:shd w:val="clear" w:color="auto" w:fill="FFFFFF"/>
        </w:rPr>
        <w:t>)</w:t>
      </w:r>
      <w:r w:rsidRPr="00693FC4">
        <w:rPr>
          <w:color w:val="222222"/>
          <w:shd w:val="clear" w:color="auto" w:fill="FFFFFF"/>
        </w:rPr>
        <w:t xml:space="preserve">. </w:t>
      </w:r>
      <w:r w:rsidRPr="001576A6">
        <w:rPr>
          <w:i/>
          <w:iCs/>
          <w:color w:val="222222"/>
          <w:shd w:val="clear" w:color="auto" w:fill="FFFFFF"/>
        </w:rPr>
        <w:t xml:space="preserve">The </w:t>
      </w:r>
      <w:r w:rsidRPr="00693FC4">
        <w:rPr>
          <w:i/>
          <w:iCs/>
          <w:color w:val="222222"/>
          <w:shd w:val="clear" w:color="auto" w:fill="FFFFFF"/>
        </w:rPr>
        <w:t>input hypothesis</w:t>
      </w:r>
      <w:r w:rsidRPr="001576A6">
        <w:rPr>
          <w:i/>
          <w:iCs/>
          <w:color w:val="222222"/>
          <w:shd w:val="clear" w:color="auto" w:fill="FFFFFF"/>
        </w:rPr>
        <w:t>: Issues and implications</w:t>
      </w:r>
      <w:r w:rsidRPr="00693FC4">
        <w:rPr>
          <w:color w:val="222222"/>
          <w:shd w:val="clear" w:color="auto" w:fill="FFFFFF"/>
        </w:rPr>
        <w:t>. Beverly Hills, CA</w:t>
      </w:r>
      <w:r>
        <w:rPr>
          <w:color w:val="222222"/>
          <w:shd w:val="clear" w:color="auto" w:fill="FFFFFF"/>
        </w:rPr>
        <w:t>:  Laredo Publishing Company.</w:t>
      </w:r>
    </w:p>
    <w:p w14:paraId="66AEB8D5" w14:textId="77777777" w:rsidR="00221469" w:rsidRPr="00693FC4" w:rsidRDefault="00221469" w:rsidP="00221469">
      <w:pPr>
        <w:pStyle w:val="5bibliography"/>
        <w:rPr>
          <w:color w:val="32322F"/>
          <w:lang w:val="en"/>
        </w:rPr>
      </w:pPr>
      <w:r w:rsidRPr="00693FC4">
        <w:rPr>
          <w:color w:val="32322F"/>
          <w:lang w:val="en"/>
        </w:rPr>
        <w:t xml:space="preserve">Larsen-Freeman, D., &amp; Long, M. (1991). </w:t>
      </w:r>
      <w:r w:rsidRPr="00693FC4">
        <w:rPr>
          <w:i/>
          <w:iCs/>
          <w:color w:val="32322F"/>
          <w:lang w:val="en"/>
        </w:rPr>
        <w:t xml:space="preserve">An introduction to second language acquisition research. </w:t>
      </w:r>
      <w:r w:rsidRPr="00693FC4">
        <w:rPr>
          <w:color w:val="32322F"/>
          <w:lang w:val="en"/>
        </w:rPr>
        <w:t>Applied linguistics and language study. London</w:t>
      </w:r>
      <w:r>
        <w:rPr>
          <w:color w:val="32322F"/>
          <w:lang w:val="en"/>
        </w:rPr>
        <w:t>, England</w:t>
      </w:r>
      <w:r w:rsidRPr="00693FC4">
        <w:rPr>
          <w:color w:val="32322F"/>
          <w:lang w:val="en"/>
        </w:rPr>
        <w:t>: Longman, 1</w:t>
      </w:r>
      <w:r>
        <w:rPr>
          <w:color w:val="32322F"/>
          <w:lang w:val="en"/>
        </w:rPr>
        <w:t>-394.</w:t>
      </w:r>
    </w:p>
    <w:p w14:paraId="57F5AD8D" w14:textId="77777777" w:rsidR="00221469" w:rsidRPr="00645668" w:rsidRDefault="00221469" w:rsidP="00221469">
      <w:pPr>
        <w:pStyle w:val="5bibliography"/>
        <w:rPr>
          <w:color w:val="222222"/>
          <w:shd w:val="clear" w:color="auto" w:fill="FFFFFF"/>
        </w:rPr>
      </w:pPr>
      <w:r w:rsidRPr="00693FC4">
        <w:rPr>
          <w:color w:val="222222"/>
          <w:shd w:val="clear" w:color="auto" w:fill="FFFFFF"/>
        </w:rPr>
        <w:t>Laufer, B., &amp; Shmueli, K. (1997).</w:t>
      </w:r>
      <w:r w:rsidRPr="00645668">
        <w:rPr>
          <w:color w:val="222222"/>
          <w:shd w:val="clear" w:color="auto" w:fill="FFFFFF"/>
        </w:rPr>
        <w:t xml:space="preserve"> Memorizing new words: Does teaching have anything to do with it? </w:t>
      </w:r>
      <w:r w:rsidRPr="001576A6">
        <w:rPr>
          <w:i/>
          <w:iCs/>
          <w:color w:val="222222"/>
          <w:shd w:val="clear" w:color="auto" w:fill="FFFFFF"/>
        </w:rPr>
        <w:t xml:space="preserve">RELC journal, </w:t>
      </w:r>
      <w:r w:rsidRPr="00645668">
        <w:rPr>
          <w:i/>
          <w:iCs/>
          <w:color w:val="222222"/>
          <w:shd w:val="clear" w:color="auto" w:fill="FFFFFF"/>
        </w:rPr>
        <w:t>28</w:t>
      </w:r>
      <w:r w:rsidRPr="00645668">
        <w:rPr>
          <w:color w:val="222222"/>
          <w:shd w:val="clear" w:color="auto" w:fill="FFFFFF"/>
        </w:rPr>
        <w:t>(1), 89</w:t>
      </w:r>
      <w:r>
        <w:rPr>
          <w:color w:val="222222"/>
          <w:shd w:val="clear" w:color="auto" w:fill="FFFFFF"/>
        </w:rPr>
        <w:t>–</w:t>
      </w:r>
      <w:r w:rsidRPr="00645668">
        <w:rPr>
          <w:color w:val="222222"/>
          <w:shd w:val="clear" w:color="auto" w:fill="FFFFFF"/>
        </w:rPr>
        <w:t>108.</w:t>
      </w:r>
      <w:r>
        <w:rPr>
          <w:color w:val="222222"/>
          <w:shd w:val="clear" w:color="auto" w:fill="FFFFFF"/>
        </w:rPr>
        <w:t xml:space="preserve"> </w:t>
      </w:r>
      <w:hyperlink r:id="rId20" w:history="1">
        <w:r w:rsidRPr="00B918EE">
          <w:rPr>
            <w:rStyle w:val="Hyperlink"/>
            <w:shd w:val="clear" w:color="auto" w:fill="FFFFFF"/>
          </w:rPr>
          <w:t>https://doi.org/10.1177/003368829702800106</w:t>
        </w:r>
      </w:hyperlink>
    </w:p>
    <w:p w14:paraId="070FE2D4" w14:textId="77777777" w:rsidR="00221469" w:rsidRPr="00645668" w:rsidRDefault="00221469" w:rsidP="00221469">
      <w:pPr>
        <w:pStyle w:val="5bibliography"/>
      </w:pPr>
      <w:r w:rsidRPr="00645668">
        <w:t xml:space="preserve">Lee, Y. W., Gentile, C., &amp; Kantor, R. (2010). Toward automated multi-trait scoring of essays: Investigating links among holistic, analytic, and text feature scores. </w:t>
      </w:r>
      <w:r w:rsidRPr="001576A6">
        <w:rPr>
          <w:i/>
          <w:iCs/>
        </w:rPr>
        <w:t>Applied Linguistics, 31</w:t>
      </w:r>
      <w:r w:rsidRPr="00645668">
        <w:t>(3), 391</w:t>
      </w:r>
      <w:r>
        <w:t>–</w:t>
      </w:r>
      <w:r w:rsidRPr="00645668">
        <w:t>417.</w:t>
      </w:r>
      <w:r>
        <w:t xml:space="preserve"> </w:t>
      </w:r>
      <w:hyperlink r:id="rId21" w:history="1">
        <w:r w:rsidRPr="00B918EE">
          <w:rPr>
            <w:rStyle w:val="Hyperlink"/>
          </w:rPr>
          <w:t>https://doi.org/10.1093/applin/amp040</w:t>
        </w:r>
      </w:hyperlink>
    </w:p>
    <w:p w14:paraId="077D8203" w14:textId="77777777" w:rsidR="00221469" w:rsidRPr="00693FC4" w:rsidRDefault="00221469" w:rsidP="00221469">
      <w:pPr>
        <w:pStyle w:val="5bibliography"/>
      </w:pPr>
      <w:r w:rsidRPr="00693FC4">
        <w:t xml:space="preserve">Levy, M., &amp; Stockwell, G. (2006). </w:t>
      </w:r>
      <w:r w:rsidRPr="00693FC4">
        <w:rPr>
          <w:i/>
          <w:iCs/>
        </w:rPr>
        <w:t>CALL dimensions: Options and issues in computer assisted language learning</w:t>
      </w:r>
      <w:r w:rsidRPr="00693FC4">
        <w:t xml:space="preserve">. </w:t>
      </w:r>
      <w:r>
        <w:t xml:space="preserve">Mahwah, NJ:  </w:t>
      </w:r>
      <w:r w:rsidRPr="00693FC4">
        <w:t>Lawrence Er</w:t>
      </w:r>
      <w:r>
        <w:t>l</w:t>
      </w:r>
      <w:r w:rsidRPr="00693FC4">
        <w:t>baum Associates.</w:t>
      </w:r>
    </w:p>
    <w:p w14:paraId="74F159E5" w14:textId="77777777" w:rsidR="00221469" w:rsidRPr="00693FC4" w:rsidRDefault="00221469" w:rsidP="00221469">
      <w:pPr>
        <w:pStyle w:val="5bibliography"/>
      </w:pPr>
      <w:r w:rsidRPr="00693FC4">
        <w:rPr>
          <w:color w:val="222222"/>
          <w:shd w:val="clear" w:color="auto" w:fill="FFFFFF"/>
        </w:rPr>
        <w:t>Li, J., Link, S., &amp; Hegelheimer, V. (2015). Rethinking the role of</w:t>
      </w:r>
      <w:r w:rsidRPr="00693FC4">
        <w:rPr>
          <w:color w:val="222222"/>
        </w:rPr>
        <w:t xml:space="preserve"> </w:t>
      </w:r>
      <w:r w:rsidRPr="00693FC4">
        <w:rPr>
          <w:color w:val="222222"/>
          <w:shd w:val="clear" w:color="auto" w:fill="FFFFFF"/>
        </w:rPr>
        <w:t>automated writing evaluation (AWE) feedback in ESL writing instruction.</w:t>
      </w:r>
      <w:r w:rsidRPr="00693FC4">
        <w:rPr>
          <w:color w:val="222222"/>
        </w:rPr>
        <w:t xml:space="preserve"> </w:t>
      </w:r>
      <w:r w:rsidRPr="001576A6">
        <w:rPr>
          <w:i/>
          <w:iCs/>
          <w:color w:val="222222"/>
          <w:shd w:val="clear" w:color="auto" w:fill="FFFFFF"/>
        </w:rPr>
        <w:t xml:space="preserve">Journal of Second Language Writing, </w:t>
      </w:r>
      <w:r w:rsidRPr="00693FC4">
        <w:rPr>
          <w:i/>
          <w:iCs/>
          <w:color w:val="222222"/>
          <w:shd w:val="clear" w:color="auto" w:fill="FFFFFF"/>
        </w:rPr>
        <w:t>27</w:t>
      </w:r>
      <w:r w:rsidRPr="00693FC4">
        <w:rPr>
          <w:color w:val="222222"/>
          <w:shd w:val="clear" w:color="auto" w:fill="FFFFFF"/>
        </w:rPr>
        <w:t>, 1–18.</w:t>
      </w:r>
      <w:r>
        <w:rPr>
          <w:color w:val="222222"/>
          <w:shd w:val="clear" w:color="auto" w:fill="FFFFFF"/>
        </w:rPr>
        <w:t xml:space="preserve"> </w:t>
      </w:r>
      <w:hyperlink r:id="rId22" w:history="1">
        <w:r w:rsidRPr="00B918EE">
          <w:rPr>
            <w:rStyle w:val="Hyperlink"/>
            <w:shd w:val="clear" w:color="auto" w:fill="FFFFFF"/>
          </w:rPr>
          <w:t>https://doi.org/10.1016/j.jslw.2014.10.004</w:t>
        </w:r>
      </w:hyperlink>
    </w:p>
    <w:p w14:paraId="6A1297DB" w14:textId="77777777" w:rsidR="00221469" w:rsidRPr="00693FC4" w:rsidRDefault="00221469" w:rsidP="00221469">
      <w:pPr>
        <w:pStyle w:val="5bibliography"/>
      </w:pPr>
      <w:r w:rsidRPr="00693FC4">
        <w:t xml:space="preserve">Liao, P. (2006). EFL learners’ beliefs about and strategy use of translation in English learning. </w:t>
      </w:r>
      <w:r w:rsidRPr="001576A6">
        <w:rPr>
          <w:i/>
          <w:iCs/>
        </w:rPr>
        <w:t xml:space="preserve">RELC Journal, </w:t>
      </w:r>
      <w:r w:rsidRPr="00693FC4">
        <w:rPr>
          <w:i/>
          <w:iCs/>
        </w:rPr>
        <w:t>37</w:t>
      </w:r>
      <w:r w:rsidRPr="00693FC4">
        <w:t>(2), 191–215.</w:t>
      </w:r>
      <w:r>
        <w:t xml:space="preserve"> </w:t>
      </w:r>
      <w:hyperlink r:id="rId23" w:history="1">
        <w:r w:rsidRPr="00B918EE">
          <w:rPr>
            <w:rStyle w:val="Hyperlink"/>
          </w:rPr>
          <w:t>https://doi.org/10.1177/0033688206067428</w:t>
        </w:r>
      </w:hyperlink>
    </w:p>
    <w:p w14:paraId="66589B86" w14:textId="77777777" w:rsidR="00221469" w:rsidRPr="00693FC4" w:rsidRDefault="00221469" w:rsidP="00221469">
      <w:pPr>
        <w:pStyle w:val="5bibliography"/>
      </w:pPr>
      <w:r w:rsidRPr="00693FC4">
        <w:rPr>
          <w:shd w:val="clear" w:color="auto" w:fill="FFFFFF"/>
        </w:rPr>
        <w:t xml:space="preserve">Link, S., Dursun, A., Karakaya, K., &amp; Hegelheimer, V. (2014). Towards better ESL practices for implementing automated writing evaluation. </w:t>
      </w:r>
      <w:r w:rsidRPr="00693FC4">
        <w:rPr>
          <w:i/>
          <w:iCs/>
          <w:shd w:val="clear" w:color="auto" w:fill="FFFFFF"/>
        </w:rPr>
        <w:t>CALICO Journal</w:t>
      </w:r>
      <w:r w:rsidRPr="001576A6">
        <w:rPr>
          <w:i/>
          <w:iCs/>
          <w:shd w:val="clear" w:color="auto" w:fill="FFFFFF"/>
        </w:rPr>
        <w:t xml:space="preserve">, </w:t>
      </w:r>
      <w:r w:rsidRPr="00693FC4">
        <w:rPr>
          <w:i/>
          <w:iCs/>
          <w:shd w:val="clear" w:color="auto" w:fill="FFFFFF"/>
        </w:rPr>
        <w:t>31</w:t>
      </w:r>
      <w:r w:rsidRPr="00693FC4">
        <w:rPr>
          <w:shd w:val="clear" w:color="auto" w:fill="FFFFFF"/>
        </w:rPr>
        <w:t>(3)</w:t>
      </w:r>
      <w:r>
        <w:rPr>
          <w:shd w:val="clear" w:color="auto" w:fill="FFFFFF"/>
        </w:rPr>
        <w:t>, 323–344</w:t>
      </w:r>
      <w:r w:rsidRPr="00693FC4">
        <w:rPr>
          <w:shd w:val="clear" w:color="auto" w:fill="FFFFFF"/>
        </w:rPr>
        <w:t>.</w:t>
      </w:r>
      <w:r>
        <w:rPr>
          <w:shd w:val="clear" w:color="auto" w:fill="FFFFFF"/>
        </w:rPr>
        <w:t xml:space="preserve"> </w:t>
      </w:r>
      <w:hyperlink r:id="rId24" w:history="1">
        <w:r w:rsidRPr="00B918EE">
          <w:rPr>
            <w:rStyle w:val="Hyperlink"/>
            <w:shd w:val="clear" w:color="auto" w:fill="FFFFFF"/>
          </w:rPr>
          <w:t>https://doi.org/10.11139/cj.31.3.323-344</w:t>
        </w:r>
      </w:hyperlink>
    </w:p>
    <w:p w14:paraId="70536441" w14:textId="77777777" w:rsidR="00221469" w:rsidRPr="00693FC4" w:rsidRDefault="00221469" w:rsidP="00221469">
      <w:pPr>
        <w:pStyle w:val="5bibliography"/>
      </w:pPr>
      <w:r w:rsidRPr="00693FC4">
        <w:t xml:space="preserve">Mackey, A. &amp; Gass, S. M. (2005). </w:t>
      </w:r>
      <w:r w:rsidRPr="00693FC4">
        <w:rPr>
          <w:i/>
          <w:iCs/>
        </w:rPr>
        <w:t>Second language research: Methodology and design</w:t>
      </w:r>
      <w:r w:rsidRPr="00693FC4">
        <w:t xml:space="preserve">. </w:t>
      </w:r>
      <w:r>
        <w:t>Mahwah,</w:t>
      </w:r>
      <w:r w:rsidRPr="00693FC4">
        <w:t xml:space="preserve"> NJ: </w:t>
      </w:r>
      <w:r>
        <w:t xml:space="preserve"> </w:t>
      </w:r>
      <w:r w:rsidRPr="00693FC4">
        <w:t>Lawrence Erlbaum Associates.</w:t>
      </w:r>
    </w:p>
    <w:p w14:paraId="4A3A0620" w14:textId="77777777" w:rsidR="00221469" w:rsidRPr="00693FC4" w:rsidRDefault="00221469" w:rsidP="00221469">
      <w:pPr>
        <w:pStyle w:val="5bibliography"/>
        <w:rPr>
          <w:color w:val="222222"/>
          <w:shd w:val="clear" w:color="auto" w:fill="FFFFFF"/>
        </w:rPr>
      </w:pPr>
      <w:r w:rsidRPr="00693FC4">
        <w:rPr>
          <w:color w:val="222222"/>
          <w:shd w:val="clear" w:color="auto" w:fill="FFFFFF"/>
        </w:rPr>
        <w:t xml:space="preserve">Prince, P. (1995). Second language vocabulary learning: The role of context versus translations as a function of proficiency. </w:t>
      </w:r>
      <w:r w:rsidRPr="001576A6">
        <w:rPr>
          <w:i/>
          <w:iCs/>
          <w:color w:val="222222"/>
          <w:shd w:val="clear" w:color="auto" w:fill="FFFFFF"/>
        </w:rPr>
        <w:t xml:space="preserve">The Modern Language Journal, </w:t>
      </w:r>
      <w:r w:rsidRPr="00693FC4">
        <w:rPr>
          <w:i/>
          <w:color w:val="222222"/>
          <w:shd w:val="clear" w:color="auto" w:fill="FFFFFF"/>
        </w:rPr>
        <w:t>80</w:t>
      </w:r>
      <w:r w:rsidRPr="00693FC4">
        <w:rPr>
          <w:color w:val="222222"/>
          <w:shd w:val="clear" w:color="auto" w:fill="FFFFFF"/>
        </w:rPr>
        <w:t>(4), 478–493.</w:t>
      </w:r>
      <w:r>
        <w:rPr>
          <w:color w:val="222222"/>
          <w:shd w:val="clear" w:color="auto" w:fill="FFFFFF"/>
        </w:rPr>
        <w:t xml:space="preserve"> </w:t>
      </w:r>
      <w:hyperlink r:id="rId25" w:history="1">
        <w:r w:rsidRPr="00B918EE">
          <w:rPr>
            <w:rStyle w:val="Hyperlink"/>
            <w:shd w:val="clear" w:color="auto" w:fill="FFFFFF"/>
          </w:rPr>
          <w:t>https://doi.org/10.1111/j.1540-4781.1996.tb05468.x</w:t>
        </w:r>
      </w:hyperlink>
    </w:p>
    <w:p w14:paraId="2F09E4D9" w14:textId="77777777" w:rsidR="00221469" w:rsidRPr="00693FC4" w:rsidRDefault="00221469" w:rsidP="00221469">
      <w:pPr>
        <w:pStyle w:val="5bibliography"/>
        <w:rPr>
          <w:color w:val="222222"/>
          <w:shd w:val="clear" w:color="auto" w:fill="FFFFFF"/>
        </w:rPr>
      </w:pPr>
      <w:r w:rsidRPr="00693FC4">
        <w:rPr>
          <w:color w:val="222222"/>
          <w:shd w:val="clear" w:color="auto" w:fill="FFFFFF"/>
        </w:rPr>
        <w:t>Schmidt, R. W. (1990). The role of consciousness in second language learning.</w:t>
      </w:r>
      <w:r w:rsidRPr="00693FC4">
        <w:rPr>
          <w:rStyle w:val="apple-converted-space"/>
          <w:color w:val="222222"/>
          <w:shd w:val="clear" w:color="auto" w:fill="FFFFFF"/>
        </w:rPr>
        <w:t xml:space="preserve"> </w:t>
      </w:r>
      <w:r w:rsidRPr="00693FC4">
        <w:rPr>
          <w:i/>
          <w:iCs/>
          <w:color w:val="222222"/>
          <w:shd w:val="clear" w:color="auto" w:fill="FFFFFF"/>
        </w:rPr>
        <w:t>Applied</w:t>
      </w:r>
      <w:r>
        <w:rPr>
          <w:i/>
          <w:iCs/>
          <w:color w:val="222222"/>
          <w:shd w:val="clear" w:color="auto" w:fill="FFFFFF"/>
        </w:rPr>
        <w:t xml:space="preserve"> </w:t>
      </w:r>
      <w:r w:rsidRPr="00693FC4">
        <w:rPr>
          <w:i/>
          <w:iCs/>
          <w:color w:val="222222"/>
          <w:shd w:val="clear" w:color="auto" w:fill="FFFFFF"/>
        </w:rPr>
        <w:t>Linguistics</w:t>
      </w:r>
      <w:r w:rsidRPr="001576A6">
        <w:rPr>
          <w:i/>
          <w:iCs/>
          <w:color w:val="222222"/>
          <w:shd w:val="clear" w:color="auto" w:fill="FFFFFF"/>
        </w:rPr>
        <w:t>,</w:t>
      </w:r>
      <w:r w:rsidRPr="001576A6">
        <w:rPr>
          <w:rStyle w:val="apple-converted-space"/>
          <w:i/>
          <w:iCs/>
          <w:color w:val="222222"/>
          <w:shd w:val="clear" w:color="auto" w:fill="FFFFFF"/>
        </w:rPr>
        <w:t xml:space="preserve"> </w:t>
      </w:r>
      <w:r w:rsidRPr="00693FC4">
        <w:rPr>
          <w:i/>
          <w:iCs/>
          <w:color w:val="222222"/>
          <w:shd w:val="clear" w:color="auto" w:fill="FFFFFF"/>
        </w:rPr>
        <w:t>11</w:t>
      </w:r>
      <w:r w:rsidRPr="00693FC4">
        <w:rPr>
          <w:color w:val="222222"/>
          <w:shd w:val="clear" w:color="auto" w:fill="FFFFFF"/>
        </w:rPr>
        <w:t>(2), 129–158.</w:t>
      </w:r>
      <w:r>
        <w:rPr>
          <w:color w:val="222222"/>
          <w:shd w:val="clear" w:color="auto" w:fill="FFFFFF"/>
        </w:rPr>
        <w:t xml:space="preserve"> </w:t>
      </w:r>
      <w:hyperlink r:id="rId26" w:history="1">
        <w:r w:rsidRPr="00B918EE">
          <w:rPr>
            <w:rStyle w:val="Hyperlink"/>
            <w:shd w:val="clear" w:color="auto" w:fill="FFFFFF"/>
          </w:rPr>
          <w:t>https://doi.org/10.1093/applin/11.2.129</w:t>
        </w:r>
      </w:hyperlink>
    </w:p>
    <w:p w14:paraId="299D2FE7" w14:textId="77777777" w:rsidR="00221469" w:rsidRPr="00693FC4" w:rsidRDefault="00221469" w:rsidP="00221469">
      <w:pPr>
        <w:pStyle w:val="5bibliography"/>
      </w:pPr>
      <w:r w:rsidRPr="00693FC4">
        <w:t>Storch, N., and Wigglesworth, G. (2010). Learners’ processing, uptake, and retention of corrective feedback on writing</w:t>
      </w:r>
      <w:r>
        <w:t>: Case studies</w:t>
      </w:r>
      <w:r w:rsidRPr="00693FC4">
        <w:t xml:space="preserve">. </w:t>
      </w:r>
      <w:r w:rsidRPr="00693FC4">
        <w:rPr>
          <w:i/>
          <w:iCs/>
        </w:rPr>
        <w:t>Studies in Second Language Acquisition</w:t>
      </w:r>
      <w:r w:rsidRPr="001576A6">
        <w:rPr>
          <w:i/>
          <w:iCs/>
        </w:rPr>
        <w:t xml:space="preserve">, </w:t>
      </w:r>
      <w:r w:rsidRPr="00693FC4">
        <w:rPr>
          <w:i/>
          <w:iCs/>
        </w:rPr>
        <w:t>32</w:t>
      </w:r>
      <w:r w:rsidRPr="00693FC4">
        <w:t>, 303–334.</w:t>
      </w:r>
      <w:r>
        <w:t xml:space="preserve"> </w:t>
      </w:r>
      <w:hyperlink r:id="rId27" w:history="1">
        <w:r w:rsidRPr="004A492C">
          <w:rPr>
            <w:rStyle w:val="Hyperlink"/>
          </w:rPr>
          <w:t>https://doi.org/10.1017/S0272263109990532</w:t>
        </w:r>
      </w:hyperlink>
    </w:p>
    <w:p w14:paraId="0E4366F2" w14:textId="77777777" w:rsidR="00221469" w:rsidRPr="00693FC4" w:rsidRDefault="00221469" w:rsidP="00221469">
      <w:pPr>
        <w:pStyle w:val="5bibliography"/>
      </w:pPr>
      <w:r w:rsidRPr="00693FC4">
        <w:t xml:space="preserve">Storch, N., and Wigglesworth, G. (2012). What role for collaboration in writing and writing feedback. </w:t>
      </w:r>
      <w:r w:rsidRPr="00693FC4">
        <w:rPr>
          <w:i/>
          <w:iCs/>
        </w:rPr>
        <w:t>Journal of Second Language Writing</w:t>
      </w:r>
      <w:r>
        <w:t xml:space="preserve">. </w:t>
      </w:r>
      <w:r w:rsidRPr="001576A6">
        <w:rPr>
          <w:i/>
        </w:rPr>
        <w:t>21</w:t>
      </w:r>
      <w:r>
        <w:t xml:space="preserve">(4), 364-374. </w:t>
      </w:r>
    </w:p>
    <w:p w14:paraId="4AD103F7" w14:textId="77777777" w:rsidR="00221469" w:rsidRDefault="00221469" w:rsidP="00221469">
      <w:pPr>
        <w:pStyle w:val="5bibliography"/>
      </w:pPr>
      <w:r w:rsidRPr="00693FC4">
        <w:t xml:space="preserve">Swain, M. (1995). Three functions of output in second language learning (p. 125–144). </w:t>
      </w:r>
      <w:r w:rsidRPr="001576A6">
        <w:rPr>
          <w:i/>
          <w:iCs/>
        </w:rPr>
        <w:t>Principle and practice in applied linguistics: Studies in honour of HG Widdowson</w:t>
      </w:r>
      <w:r>
        <w:t xml:space="preserve">.  </w:t>
      </w:r>
      <w:r w:rsidRPr="001576A6">
        <w:rPr>
          <w:i/>
        </w:rPr>
        <w:t>ELT Journal,</w:t>
      </w:r>
      <w:r>
        <w:t xml:space="preserve"> </w:t>
      </w:r>
      <w:r w:rsidRPr="001576A6">
        <w:rPr>
          <w:i/>
        </w:rPr>
        <w:t>50</w:t>
      </w:r>
      <w:r>
        <w:t xml:space="preserve">(3), 265-266. </w:t>
      </w:r>
    </w:p>
    <w:p w14:paraId="4F920175" w14:textId="77777777" w:rsidR="00221469" w:rsidRPr="00645668" w:rsidRDefault="00221469" w:rsidP="00221469">
      <w:pPr>
        <w:pStyle w:val="5bibliography"/>
      </w:pPr>
      <w:r w:rsidRPr="00693FC4">
        <w:t xml:space="preserve">Swain, M., &amp; Lapkin, S. (2000). Task-based second language learning: The uses of the first language. </w:t>
      </w:r>
      <w:r w:rsidRPr="00693FC4">
        <w:rPr>
          <w:i/>
          <w:iCs/>
        </w:rPr>
        <w:t>Language Teaching Resear</w:t>
      </w:r>
      <w:r w:rsidRPr="00645668">
        <w:rPr>
          <w:i/>
          <w:iCs/>
        </w:rPr>
        <w:t>ch</w:t>
      </w:r>
      <w:r>
        <w:rPr>
          <w:i/>
          <w:iCs/>
        </w:rPr>
        <w:t xml:space="preserve">, </w:t>
      </w:r>
      <w:r w:rsidRPr="00645668">
        <w:rPr>
          <w:i/>
          <w:iCs/>
        </w:rPr>
        <w:t>4</w:t>
      </w:r>
      <w:r w:rsidRPr="00645668">
        <w:t>(3), 251</w:t>
      </w:r>
      <w:r>
        <w:t>–</w:t>
      </w:r>
      <w:r w:rsidRPr="00645668">
        <w:t>274.</w:t>
      </w:r>
    </w:p>
    <w:p w14:paraId="2F4EC078" w14:textId="77777777" w:rsidR="00221469" w:rsidRPr="00693FC4" w:rsidRDefault="00221469" w:rsidP="00221469">
      <w:pPr>
        <w:pStyle w:val="5bibliography"/>
      </w:pPr>
      <w:r w:rsidRPr="00693FC4">
        <w:t>Truscott, J., and Hsu, A.</w:t>
      </w:r>
      <w:r>
        <w:t xml:space="preserve"> Y.</w:t>
      </w:r>
      <w:r w:rsidRPr="00693FC4">
        <w:t xml:space="preserve"> (2008). Error correction, revision, and learning. </w:t>
      </w:r>
      <w:r w:rsidRPr="00693FC4">
        <w:rPr>
          <w:i/>
          <w:iCs/>
        </w:rPr>
        <w:t>Journal of Second Language Writing</w:t>
      </w:r>
      <w:r w:rsidRPr="001576A6">
        <w:rPr>
          <w:i/>
          <w:iCs/>
        </w:rPr>
        <w:t xml:space="preserve">, </w:t>
      </w:r>
      <w:r w:rsidRPr="00693FC4">
        <w:rPr>
          <w:i/>
          <w:iCs/>
        </w:rPr>
        <w:t>17</w:t>
      </w:r>
      <w:r>
        <w:t>(4)</w:t>
      </w:r>
      <w:r w:rsidRPr="00693FC4">
        <w:t>, 292–</w:t>
      </w:r>
      <w:r w:rsidRPr="00693FC4">
        <w:lastRenderedPageBreak/>
        <w:t>305.</w:t>
      </w:r>
      <w:r>
        <w:t xml:space="preserve"> </w:t>
      </w:r>
      <w:hyperlink r:id="rId28" w:history="1">
        <w:r w:rsidRPr="004A492C">
          <w:rPr>
            <w:rStyle w:val="Hyperlink"/>
          </w:rPr>
          <w:t>https://doi.org/10.1016/j.jslw.2008.05.003</w:t>
        </w:r>
      </w:hyperlink>
    </w:p>
    <w:p w14:paraId="7B3A82B3" w14:textId="77777777" w:rsidR="00221469" w:rsidRPr="00693FC4" w:rsidRDefault="00221469" w:rsidP="00221469">
      <w:pPr>
        <w:pStyle w:val="5bibliography"/>
      </w:pPr>
      <w:r w:rsidRPr="00693FC4">
        <w:t xml:space="preserve">Warschauer, M., &amp; Ware, P. (2006). Automated writing evaluation: Defining the classroom research agenda. </w:t>
      </w:r>
      <w:r w:rsidRPr="00693FC4">
        <w:rPr>
          <w:i/>
          <w:iCs/>
        </w:rPr>
        <w:t>Language Teaching Research</w:t>
      </w:r>
      <w:r w:rsidRPr="001576A6">
        <w:rPr>
          <w:i/>
          <w:iCs/>
        </w:rPr>
        <w:t xml:space="preserve">, </w:t>
      </w:r>
      <w:r w:rsidRPr="00693FC4">
        <w:rPr>
          <w:i/>
          <w:iCs/>
        </w:rPr>
        <w:t>10</w:t>
      </w:r>
      <w:r w:rsidRPr="00693FC4">
        <w:t>(2), 157–180.</w:t>
      </w:r>
      <w:r>
        <w:t xml:space="preserve"> </w:t>
      </w:r>
      <w:hyperlink r:id="rId29" w:history="1">
        <w:r w:rsidRPr="004A492C">
          <w:rPr>
            <w:rStyle w:val="Hyperlink"/>
          </w:rPr>
          <w:t>https://doi.org/10.1191/1362168806lr190oa</w:t>
        </w:r>
      </w:hyperlink>
    </w:p>
    <w:p w14:paraId="0EB4F555" w14:textId="77777777" w:rsidR="00221469" w:rsidRPr="00693FC4" w:rsidRDefault="00221469" w:rsidP="00221469">
      <w:pPr>
        <w:pStyle w:val="5bibliography"/>
      </w:pPr>
      <w:r w:rsidRPr="00693FC4">
        <w:rPr>
          <w:color w:val="222222"/>
          <w:shd w:val="clear" w:color="auto" w:fill="FFFFFF"/>
        </w:rPr>
        <w:t>Wilken, J. L. (2013). L1 feedback in automated writing evaluation: From learners’ perspectives</w:t>
      </w:r>
      <w:r>
        <w:rPr>
          <w:color w:val="222222"/>
          <w:shd w:val="clear" w:color="auto" w:fill="FFFFFF"/>
        </w:rPr>
        <w:t>. Graduate Theses and Dissertations.</w:t>
      </w:r>
      <w:r w:rsidRPr="00693FC4">
        <w:rPr>
          <w:color w:val="222222"/>
          <w:shd w:val="clear" w:color="auto" w:fill="FFFFFF"/>
        </w:rPr>
        <w:t xml:space="preserve"> </w:t>
      </w:r>
    </w:p>
    <w:p w14:paraId="4F346B5C" w14:textId="77777777" w:rsidR="00221469" w:rsidRPr="003D2A4F" w:rsidRDefault="00221469" w:rsidP="00221469">
      <w:pPr>
        <w:pStyle w:val="5bibliography"/>
      </w:pPr>
      <w:r w:rsidRPr="00693FC4">
        <w:t xml:space="preserve">Yoshii, M. (2006). L1 and L2 glosses: Their effects on incidental vocabulary learning. </w:t>
      </w:r>
      <w:r w:rsidRPr="00693FC4">
        <w:rPr>
          <w:i/>
          <w:iCs/>
        </w:rPr>
        <w:t>Language Learn</w:t>
      </w:r>
      <w:r w:rsidRPr="00645668">
        <w:rPr>
          <w:i/>
          <w:iCs/>
        </w:rPr>
        <w:t>ing and Technology</w:t>
      </w:r>
      <w:r w:rsidRPr="001576A6">
        <w:rPr>
          <w:i/>
          <w:iCs/>
        </w:rPr>
        <w:t xml:space="preserve">, </w:t>
      </w:r>
      <w:r w:rsidRPr="00645668">
        <w:rPr>
          <w:i/>
          <w:iCs/>
        </w:rPr>
        <w:t>10</w:t>
      </w:r>
      <w:r w:rsidRPr="00645668">
        <w:t>(3), 85</w:t>
      </w:r>
      <w:r>
        <w:t>–</w:t>
      </w:r>
      <w:r w:rsidRPr="00645668">
        <w:t>101.</w:t>
      </w:r>
    </w:p>
    <w:p w14:paraId="29078C14" w14:textId="77777777" w:rsidR="002476C5" w:rsidRDefault="002476C5" w:rsidP="002476C5">
      <w:pPr>
        <w:ind w:hanging="720"/>
      </w:pPr>
    </w:p>
    <w:p w14:paraId="2195A512" w14:textId="77777777" w:rsidR="00221469" w:rsidRDefault="00221469" w:rsidP="00B15831">
      <w:pPr>
        <w:spacing w:line="276" w:lineRule="auto"/>
        <w:jc w:val="center"/>
      </w:pPr>
    </w:p>
    <w:p w14:paraId="04EA7A29" w14:textId="77777777" w:rsidR="00221469" w:rsidRDefault="00221469" w:rsidP="00B15831">
      <w:pPr>
        <w:spacing w:line="276" w:lineRule="auto"/>
        <w:jc w:val="center"/>
      </w:pPr>
    </w:p>
    <w:p w14:paraId="325D2979" w14:textId="77777777" w:rsidR="00221469" w:rsidRDefault="00221469" w:rsidP="00B15831">
      <w:pPr>
        <w:spacing w:line="276" w:lineRule="auto"/>
        <w:jc w:val="center"/>
      </w:pPr>
    </w:p>
    <w:p w14:paraId="3B0CD1BC" w14:textId="77777777" w:rsidR="00221469" w:rsidRDefault="00221469" w:rsidP="00B15831">
      <w:pPr>
        <w:spacing w:line="276" w:lineRule="auto"/>
        <w:jc w:val="center"/>
      </w:pPr>
    </w:p>
    <w:p w14:paraId="75D6FDC6" w14:textId="77777777" w:rsidR="00221469" w:rsidRDefault="00221469" w:rsidP="00B15831">
      <w:pPr>
        <w:spacing w:line="276" w:lineRule="auto"/>
        <w:jc w:val="center"/>
      </w:pPr>
    </w:p>
    <w:p w14:paraId="53D28506" w14:textId="584D372B" w:rsidR="00221469" w:rsidRDefault="00221469" w:rsidP="00B15831">
      <w:pPr>
        <w:spacing w:line="276" w:lineRule="auto"/>
        <w:jc w:val="center"/>
      </w:pPr>
    </w:p>
    <w:p w14:paraId="254A427E" w14:textId="2D20303D" w:rsidR="00037EB3" w:rsidRDefault="00037EB3" w:rsidP="00B15831">
      <w:pPr>
        <w:spacing w:line="276" w:lineRule="auto"/>
        <w:jc w:val="center"/>
      </w:pPr>
    </w:p>
    <w:p w14:paraId="46E75234" w14:textId="3230476D" w:rsidR="00037EB3" w:rsidRDefault="00037EB3" w:rsidP="00B15831">
      <w:pPr>
        <w:spacing w:line="276" w:lineRule="auto"/>
        <w:jc w:val="center"/>
      </w:pPr>
    </w:p>
    <w:p w14:paraId="0130E084" w14:textId="259FCA35" w:rsidR="00037EB3" w:rsidRDefault="00037EB3" w:rsidP="00B15831">
      <w:pPr>
        <w:spacing w:line="276" w:lineRule="auto"/>
        <w:jc w:val="center"/>
      </w:pPr>
    </w:p>
    <w:p w14:paraId="7E1D20A7" w14:textId="577D0024" w:rsidR="00037EB3" w:rsidRDefault="00037EB3" w:rsidP="00B15831">
      <w:pPr>
        <w:spacing w:line="276" w:lineRule="auto"/>
        <w:jc w:val="center"/>
      </w:pPr>
    </w:p>
    <w:p w14:paraId="717B3D1E" w14:textId="1A662338" w:rsidR="00037EB3" w:rsidRDefault="00037EB3" w:rsidP="00B15831">
      <w:pPr>
        <w:spacing w:line="276" w:lineRule="auto"/>
        <w:jc w:val="center"/>
      </w:pPr>
    </w:p>
    <w:p w14:paraId="5B61C839" w14:textId="4C5FA5A7" w:rsidR="00037EB3" w:rsidRDefault="00037EB3" w:rsidP="00B15831">
      <w:pPr>
        <w:spacing w:line="276" w:lineRule="auto"/>
        <w:jc w:val="center"/>
      </w:pPr>
    </w:p>
    <w:p w14:paraId="0C62CD2A" w14:textId="231D6BFE" w:rsidR="00037EB3" w:rsidRDefault="00037EB3" w:rsidP="00B15831">
      <w:pPr>
        <w:spacing w:line="276" w:lineRule="auto"/>
        <w:jc w:val="center"/>
      </w:pPr>
    </w:p>
    <w:p w14:paraId="3AC4A513" w14:textId="4FCDBADB" w:rsidR="00037EB3" w:rsidRDefault="00037EB3" w:rsidP="00B15831">
      <w:pPr>
        <w:spacing w:line="276" w:lineRule="auto"/>
        <w:jc w:val="center"/>
      </w:pPr>
    </w:p>
    <w:p w14:paraId="228631C9" w14:textId="5AB35294" w:rsidR="00037EB3" w:rsidRDefault="00037EB3" w:rsidP="00B15831">
      <w:pPr>
        <w:spacing w:line="276" w:lineRule="auto"/>
        <w:jc w:val="center"/>
      </w:pPr>
    </w:p>
    <w:p w14:paraId="2C73DB7F" w14:textId="27DDBF0B" w:rsidR="00037EB3" w:rsidRDefault="00037EB3" w:rsidP="00B15831">
      <w:pPr>
        <w:spacing w:line="276" w:lineRule="auto"/>
        <w:jc w:val="center"/>
      </w:pPr>
    </w:p>
    <w:p w14:paraId="00F6D50D" w14:textId="36FB6E59" w:rsidR="00037EB3" w:rsidRDefault="00037EB3" w:rsidP="00B15831">
      <w:pPr>
        <w:spacing w:line="276" w:lineRule="auto"/>
        <w:jc w:val="center"/>
      </w:pPr>
    </w:p>
    <w:p w14:paraId="66C51383" w14:textId="7C598808" w:rsidR="00037EB3" w:rsidRDefault="00037EB3" w:rsidP="00B15831">
      <w:pPr>
        <w:spacing w:line="276" w:lineRule="auto"/>
        <w:jc w:val="center"/>
      </w:pPr>
    </w:p>
    <w:p w14:paraId="11C49C16" w14:textId="688183B5" w:rsidR="00037EB3" w:rsidRDefault="00037EB3" w:rsidP="00B15831">
      <w:pPr>
        <w:spacing w:line="276" w:lineRule="auto"/>
        <w:jc w:val="center"/>
      </w:pPr>
    </w:p>
    <w:p w14:paraId="4BA6AFFD" w14:textId="176EF386" w:rsidR="00037EB3" w:rsidRDefault="00037EB3" w:rsidP="00B15831">
      <w:pPr>
        <w:spacing w:line="276" w:lineRule="auto"/>
        <w:jc w:val="center"/>
      </w:pPr>
    </w:p>
    <w:p w14:paraId="168127CF" w14:textId="57212D09" w:rsidR="00037EB3" w:rsidRDefault="00037EB3" w:rsidP="00B15831">
      <w:pPr>
        <w:spacing w:line="276" w:lineRule="auto"/>
        <w:jc w:val="center"/>
      </w:pPr>
    </w:p>
    <w:p w14:paraId="2EC99660" w14:textId="0EFBE047" w:rsidR="00037EB3" w:rsidRDefault="00037EB3" w:rsidP="00B15831">
      <w:pPr>
        <w:spacing w:line="276" w:lineRule="auto"/>
        <w:jc w:val="center"/>
      </w:pPr>
    </w:p>
    <w:p w14:paraId="6FD7BDAC" w14:textId="585ACC7C" w:rsidR="00037EB3" w:rsidRDefault="00037EB3" w:rsidP="00B15831">
      <w:pPr>
        <w:spacing w:line="276" w:lineRule="auto"/>
        <w:jc w:val="center"/>
      </w:pPr>
    </w:p>
    <w:p w14:paraId="2E6396E0" w14:textId="15FBD625" w:rsidR="00037EB3" w:rsidRDefault="00037EB3" w:rsidP="00B15831">
      <w:pPr>
        <w:spacing w:line="276" w:lineRule="auto"/>
        <w:jc w:val="center"/>
      </w:pPr>
    </w:p>
    <w:p w14:paraId="7953090D" w14:textId="2D60BC0C" w:rsidR="00037EB3" w:rsidRDefault="00037EB3" w:rsidP="00B15831">
      <w:pPr>
        <w:spacing w:line="276" w:lineRule="auto"/>
        <w:jc w:val="center"/>
      </w:pPr>
    </w:p>
    <w:p w14:paraId="731AF0FF" w14:textId="37507E2A" w:rsidR="00037EB3" w:rsidRDefault="00037EB3" w:rsidP="00B15831">
      <w:pPr>
        <w:spacing w:line="276" w:lineRule="auto"/>
        <w:jc w:val="center"/>
      </w:pPr>
    </w:p>
    <w:p w14:paraId="2604DB70" w14:textId="351157B4" w:rsidR="00037EB3" w:rsidRDefault="00037EB3" w:rsidP="00B15831">
      <w:pPr>
        <w:spacing w:line="276" w:lineRule="auto"/>
        <w:jc w:val="center"/>
      </w:pPr>
    </w:p>
    <w:p w14:paraId="755E6D68" w14:textId="22EB5C58" w:rsidR="00037EB3" w:rsidRDefault="00037EB3" w:rsidP="00B15831">
      <w:pPr>
        <w:spacing w:line="276" w:lineRule="auto"/>
        <w:jc w:val="center"/>
      </w:pPr>
    </w:p>
    <w:p w14:paraId="3A426553" w14:textId="32EA86CA" w:rsidR="00037EB3" w:rsidRDefault="00037EB3" w:rsidP="00B15831">
      <w:pPr>
        <w:spacing w:line="276" w:lineRule="auto"/>
        <w:jc w:val="center"/>
      </w:pPr>
    </w:p>
    <w:p w14:paraId="6A41D1CA" w14:textId="06553F74" w:rsidR="00037EB3" w:rsidRDefault="00037EB3" w:rsidP="00B15831">
      <w:pPr>
        <w:spacing w:line="276" w:lineRule="auto"/>
        <w:jc w:val="center"/>
      </w:pPr>
    </w:p>
    <w:p w14:paraId="0F6FFC37" w14:textId="4CF9D040" w:rsidR="00037EB3" w:rsidRDefault="00037EB3" w:rsidP="00B15831">
      <w:pPr>
        <w:spacing w:line="276" w:lineRule="auto"/>
        <w:jc w:val="center"/>
      </w:pPr>
    </w:p>
    <w:p w14:paraId="26B70164" w14:textId="3E3BCA8C" w:rsidR="00037EB3" w:rsidRDefault="00037EB3" w:rsidP="00B15831">
      <w:pPr>
        <w:spacing w:line="276" w:lineRule="auto"/>
        <w:jc w:val="center"/>
      </w:pPr>
    </w:p>
    <w:p w14:paraId="16D632CE" w14:textId="57BB4DD5" w:rsidR="00037EB3" w:rsidRDefault="00037EB3" w:rsidP="00B15831">
      <w:pPr>
        <w:spacing w:line="276" w:lineRule="auto"/>
        <w:jc w:val="center"/>
      </w:pPr>
    </w:p>
    <w:p w14:paraId="47A5C017" w14:textId="14D2D158" w:rsidR="00037EB3" w:rsidRDefault="00037EB3" w:rsidP="00B15831">
      <w:pPr>
        <w:spacing w:line="276" w:lineRule="auto"/>
        <w:jc w:val="center"/>
      </w:pPr>
    </w:p>
    <w:p w14:paraId="6F80D013" w14:textId="77777777" w:rsidR="00961DDC" w:rsidRDefault="002476C5" w:rsidP="00B15831">
      <w:pPr>
        <w:spacing w:line="276" w:lineRule="auto"/>
        <w:jc w:val="center"/>
      </w:pPr>
      <w:r>
        <w:t>APPENDIX A</w:t>
      </w:r>
      <w:r w:rsidR="003275E0">
        <w:t xml:space="preserve">  </w:t>
      </w:r>
    </w:p>
    <w:p w14:paraId="3BBB59AC" w14:textId="77777777" w:rsidR="002476C5" w:rsidRDefault="00961DDC" w:rsidP="00B15831">
      <w:pPr>
        <w:spacing w:line="276" w:lineRule="auto"/>
        <w:jc w:val="center"/>
        <w:rPr>
          <w:b/>
        </w:rPr>
      </w:pPr>
      <w:r>
        <w:t>TOEFL prompts</w:t>
      </w:r>
    </w:p>
    <w:p w14:paraId="1D6BDD33" w14:textId="77777777" w:rsidR="002476C5" w:rsidRDefault="002476C5" w:rsidP="00B15831">
      <w:pPr>
        <w:spacing w:line="276" w:lineRule="auto"/>
        <w:jc w:val="center"/>
        <w:rPr>
          <w:b/>
        </w:rPr>
      </w:pPr>
    </w:p>
    <w:p w14:paraId="4E11AC77" w14:textId="77777777" w:rsidR="002476C5" w:rsidRPr="00B313D5" w:rsidRDefault="002476C5" w:rsidP="00B313D5">
      <w:pPr>
        <w:spacing w:line="480" w:lineRule="auto"/>
        <w:rPr>
          <w:i/>
        </w:rPr>
      </w:pPr>
      <w:r w:rsidRPr="00B313D5">
        <w:rPr>
          <w:i/>
        </w:rPr>
        <w:t>Week 1</w:t>
      </w:r>
      <w:r w:rsidR="001531ED">
        <w:rPr>
          <w:i/>
        </w:rPr>
        <w:t xml:space="preserve"> prompt</w:t>
      </w:r>
      <w:r w:rsidRPr="00B313D5">
        <w:rPr>
          <w:i/>
        </w:rPr>
        <w:t>:  Learn from Mistakes: Persuasive TOEFL</w:t>
      </w:r>
    </w:p>
    <w:p w14:paraId="17124140" w14:textId="77777777" w:rsidR="002476C5" w:rsidRDefault="002476C5" w:rsidP="00B313D5">
      <w:pPr>
        <w:spacing w:line="480" w:lineRule="auto"/>
        <w:rPr>
          <w:color w:val="000000"/>
        </w:rPr>
      </w:pPr>
      <w:r>
        <w:rPr>
          <w:color w:val="000000"/>
        </w:rPr>
        <w:t>Do you agree or disagree with the following statement? People always learn from their mistakes. Use specific reasons and details to support your answer</w:t>
      </w:r>
    </w:p>
    <w:p w14:paraId="325DFCEE" w14:textId="77777777" w:rsidR="002476C5" w:rsidRDefault="002476C5" w:rsidP="00B313D5">
      <w:pPr>
        <w:spacing w:line="480" w:lineRule="auto"/>
        <w:rPr>
          <w:color w:val="000000"/>
        </w:rPr>
      </w:pPr>
    </w:p>
    <w:p w14:paraId="5ABD17A4" w14:textId="77777777" w:rsidR="002476C5" w:rsidRPr="00B313D5" w:rsidRDefault="002476C5" w:rsidP="00B313D5">
      <w:pPr>
        <w:spacing w:line="480" w:lineRule="auto"/>
        <w:rPr>
          <w:i/>
          <w:color w:val="000000"/>
        </w:rPr>
      </w:pPr>
      <w:r w:rsidRPr="00B313D5">
        <w:rPr>
          <w:i/>
          <w:color w:val="000000"/>
        </w:rPr>
        <w:t>Week 2</w:t>
      </w:r>
      <w:r w:rsidR="001531ED">
        <w:rPr>
          <w:i/>
          <w:color w:val="000000"/>
        </w:rPr>
        <w:t xml:space="preserve"> prompt</w:t>
      </w:r>
      <w:r w:rsidRPr="00B313D5">
        <w:rPr>
          <w:i/>
          <w:color w:val="000000"/>
        </w:rPr>
        <w:t>:  Prepare for a Trip: Expository TOEFL</w:t>
      </w:r>
    </w:p>
    <w:p w14:paraId="2340DEF9" w14:textId="77777777" w:rsidR="002476C5" w:rsidRDefault="002476C5" w:rsidP="00B313D5">
      <w:pPr>
        <w:spacing w:line="480" w:lineRule="auto"/>
        <w:rPr>
          <w:color w:val="000000"/>
        </w:rPr>
      </w:pPr>
      <w:r>
        <w:rPr>
          <w:color w:val="000000"/>
        </w:rPr>
        <w:t>Imagine that you are preparing for a trip. You plan to be away from your home for a year. In addition to clothing and personal care items, you can take one additional thing. What would you take and why? Use specific reasons and details to support your answer.</w:t>
      </w:r>
    </w:p>
    <w:p w14:paraId="0AB6BB9F" w14:textId="77777777" w:rsidR="002476C5" w:rsidRPr="00B313D5" w:rsidRDefault="002476C5" w:rsidP="00B313D5">
      <w:pPr>
        <w:spacing w:line="480" w:lineRule="auto"/>
        <w:rPr>
          <w:i/>
          <w:color w:val="000000"/>
        </w:rPr>
      </w:pPr>
    </w:p>
    <w:p w14:paraId="1F4868FA" w14:textId="77777777" w:rsidR="002476C5" w:rsidRPr="00B313D5" w:rsidRDefault="002476C5" w:rsidP="00B313D5">
      <w:pPr>
        <w:spacing w:line="480" w:lineRule="auto"/>
        <w:rPr>
          <w:i/>
          <w:color w:val="000000"/>
        </w:rPr>
      </w:pPr>
      <w:r w:rsidRPr="00B313D5">
        <w:rPr>
          <w:i/>
          <w:color w:val="000000"/>
        </w:rPr>
        <w:t>Week 3</w:t>
      </w:r>
      <w:r w:rsidR="001531ED">
        <w:rPr>
          <w:i/>
          <w:color w:val="000000"/>
        </w:rPr>
        <w:t xml:space="preserve"> prompt</w:t>
      </w:r>
      <w:r w:rsidRPr="00B313D5">
        <w:rPr>
          <w:i/>
          <w:color w:val="000000"/>
        </w:rPr>
        <w:t>:  Experience or Books: Persuasive TOEFL</w:t>
      </w:r>
    </w:p>
    <w:p w14:paraId="37F00AB9" w14:textId="77777777" w:rsidR="002476C5" w:rsidRDefault="002476C5" w:rsidP="00B313D5">
      <w:pPr>
        <w:spacing w:line="480" w:lineRule="auto"/>
        <w:rPr>
          <w:color w:val="000000"/>
        </w:rPr>
      </w:pPr>
      <w:r>
        <w:rPr>
          <w:color w:val="000000"/>
        </w:rPr>
        <w:t>It has been said, "Not everything that is learned is contained in books." Compare and contrast knowledge gained from experience with knowledge gained from books. In your opinion, which source is more important? Why?</w:t>
      </w:r>
    </w:p>
    <w:p w14:paraId="0ED83520" w14:textId="77777777" w:rsidR="002476C5" w:rsidRPr="00B313D5" w:rsidRDefault="002476C5" w:rsidP="00B313D5">
      <w:pPr>
        <w:spacing w:line="480" w:lineRule="auto"/>
        <w:rPr>
          <w:i/>
          <w:color w:val="000000"/>
        </w:rPr>
      </w:pPr>
    </w:p>
    <w:p w14:paraId="177ABEE8" w14:textId="77777777" w:rsidR="002476C5" w:rsidRPr="00B313D5" w:rsidRDefault="002476C5" w:rsidP="00B313D5">
      <w:pPr>
        <w:spacing w:line="480" w:lineRule="auto"/>
        <w:rPr>
          <w:i/>
          <w:color w:val="000000"/>
        </w:rPr>
      </w:pPr>
      <w:r w:rsidRPr="00B313D5">
        <w:rPr>
          <w:i/>
          <w:color w:val="000000"/>
        </w:rPr>
        <w:t>Week 4</w:t>
      </w:r>
      <w:r w:rsidR="001531ED">
        <w:rPr>
          <w:i/>
          <w:color w:val="000000"/>
        </w:rPr>
        <w:t xml:space="preserve"> prompt</w:t>
      </w:r>
      <w:r w:rsidRPr="00B313D5">
        <w:rPr>
          <w:i/>
          <w:color w:val="000000"/>
        </w:rPr>
        <w:t>:  Preferred Teacher Style:  Persuasive TOEFL</w:t>
      </w:r>
    </w:p>
    <w:p w14:paraId="5AFA792F" w14:textId="77777777" w:rsidR="002476C5" w:rsidRDefault="002476C5" w:rsidP="00B313D5">
      <w:pPr>
        <w:spacing w:line="480" w:lineRule="auto"/>
        <w:rPr>
          <w:color w:val="000000"/>
        </w:rPr>
      </w:pPr>
      <w:r>
        <w:rPr>
          <w:color w:val="000000"/>
        </w:rPr>
        <w:t>Some people learn best when a classroom lesson is presented in an entertaining, enjoyable way. Other people learn best when a lesson is presented in a serious, formal way. Which of these two ways of learning do you prefer?</w:t>
      </w:r>
      <w:r w:rsidR="00B313D5">
        <w:rPr>
          <w:color w:val="000000"/>
        </w:rPr>
        <w:t xml:space="preserve"> </w:t>
      </w:r>
      <w:r>
        <w:rPr>
          <w:color w:val="000000"/>
        </w:rPr>
        <w:t xml:space="preserve"> Give reasons to support your answer.</w:t>
      </w:r>
    </w:p>
    <w:p w14:paraId="5607F509" w14:textId="77777777" w:rsidR="002476C5" w:rsidRDefault="002476C5" w:rsidP="00B313D5">
      <w:pPr>
        <w:spacing w:line="480" w:lineRule="auto"/>
        <w:rPr>
          <w:b/>
        </w:rPr>
      </w:pPr>
    </w:p>
    <w:p w14:paraId="0A5048DE" w14:textId="77777777" w:rsidR="002476C5" w:rsidRDefault="002476C5" w:rsidP="00B313D5">
      <w:pPr>
        <w:spacing w:line="480" w:lineRule="auto"/>
        <w:rPr>
          <w:b/>
        </w:rPr>
      </w:pPr>
    </w:p>
    <w:p w14:paraId="45082405" w14:textId="77777777" w:rsidR="001531ED" w:rsidRDefault="001531ED" w:rsidP="00B313D5">
      <w:pPr>
        <w:spacing w:line="480" w:lineRule="auto"/>
        <w:rPr>
          <w:b/>
        </w:rPr>
      </w:pPr>
    </w:p>
    <w:p w14:paraId="645AB692" w14:textId="77777777" w:rsidR="00713933" w:rsidRDefault="00713933" w:rsidP="00B313D5">
      <w:pPr>
        <w:spacing w:line="480" w:lineRule="auto"/>
        <w:rPr>
          <w:b/>
        </w:rPr>
      </w:pPr>
    </w:p>
    <w:p w14:paraId="071AE851" w14:textId="77777777" w:rsidR="002476C5" w:rsidRDefault="002476C5" w:rsidP="00B15831">
      <w:pPr>
        <w:jc w:val="center"/>
      </w:pPr>
      <w:r>
        <w:t>APPEND</w:t>
      </w:r>
      <w:r w:rsidR="00B313D5">
        <w:t xml:space="preserve">IX </w:t>
      </w:r>
      <w:r w:rsidR="003275E0">
        <w:t xml:space="preserve">B:  </w:t>
      </w:r>
    </w:p>
    <w:p w14:paraId="2E4F26C5" w14:textId="77777777" w:rsidR="002476C5" w:rsidRDefault="00961DDC" w:rsidP="00961DDC">
      <w:pPr>
        <w:jc w:val="center"/>
      </w:pPr>
      <w:r>
        <w:t>Translation check</w:t>
      </w:r>
    </w:p>
    <w:p w14:paraId="2D8F2803" w14:textId="77777777" w:rsidR="002476C5" w:rsidRDefault="002476C5" w:rsidP="00B15831">
      <w:pPr>
        <w:jc w:val="center"/>
      </w:pPr>
    </w:p>
    <w:p w14:paraId="67FEC9C3" w14:textId="77777777" w:rsidR="002476C5" w:rsidRDefault="002476C5" w:rsidP="00B15831"/>
    <w:p w14:paraId="348F3367" w14:textId="77777777" w:rsidR="002476C5" w:rsidRDefault="002476C5" w:rsidP="00B15831">
      <w:pPr>
        <w:rPr>
          <w:b/>
        </w:rPr>
      </w:pPr>
      <w:r>
        <w:rPr>
          <w:b/>
        </w:rPr>
        <w:t>Criterion Category:   Grammar</w:t>
      </w:r>
    </w:p>
    <w:p w14:paraId="74B3D008" w14:textId="77777777" w:rsidR="002476C5" w:rsidRDefault="002476C5" w:rsidP="00B15831">
      <w:pPr>
        <w:rPr>
          <w:b/>
        </w:rPr>
      </w:pPr>
      <w:r>
        <w:rPr>
          <w:b/>
        </w:rPr>
        <w:t>Error type feedback:   Run-on sentences</w:t>
      </w:r>
    </w:p>
    <w:p w14:paraId="3140A60A" w14:textId="77777777" w:rsidR="002476C5" w:rsidRDefault="002476C5" w:rsidP="00B15831">
      <w:pPr>
        <w:rPr>
          <w:b/>
        </w:rPr>
      </w:pPr>
    </w:p>
    <w:p w14:paraId="182E8D1A" w14:textId="77777777" w:rsidR="002476C5" w:rsidRDefault="002476C5" w:rsidP="00B15831">
      <w:pPr>
        <w:rPr>
          <w:b/>
        </w:rPr>
      </w:pPr>
    </w:p>
    <w:p w14:paraId="4CE7CC27" w14:textId="77777777" w:rsidR="002476C5" w:rsidRDefault="002476C5" w:rsidP="00B15831">
      <w:pPr>
        <w:rPr>
          <w:b/>
          <w:noProof/>
        </w:rPr>
      </w:pPr>
      <w:r>
        <w:rPr>
          <w:b/>
        </w:rPr>
        <w:t xml:space="preserve">Verbatim feedback:  </w:t>
      </w:r>
    </w:p>
    <w:p w14:paraId="738FC65D" w14:textId="77777777" w:rsidR="002476C5" w:rsidRDefault="002476C5" w:rsidP="00B15831">
      <w:pPr>
        <w:rPr>
          <w:b/>
        </w:rPr>
      </w:pPr>
      <w:r>
        <w:rPr>
          <w:b/>
          <w:noProof/>
        </w:rPr>
        <w:drawing>
          <wp:inline distT="0" distB="0" distL="0" distR="0" wp14:anchorId="1F3AF33F" wp14:editId="339284EA">
            <wp:extent cx="5955030" cy="136017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55030" cy="1360170"/>
                    </a:xfrm>
                    <a:prstGeom prst="rect">
                      <a:avLst/>
                    </a:prstGeom>
                    <a:noFill/>
                    <a:ln>
                      <a:noFill/>
                    </a:ln>
                  </pic:spPr>
                </pic:pic>
              </a:graphicData>
            </a:graphic>
          </wp:inline>
        </w:drawing>
      </w:r>
    </w:p>
    <w:p w14:paraId="6DB9C196" w14:textId="77777777" w:rsidR="002476C5" w:rsidRDefault="002476C5" w:rsidP="00B15831"/>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1998"/>
        <w:gridCol w:w="1080"/>
        <w:gridCol w:w="990"/>
        <w:gridCol w:w="900"/>
        <w:gridCol w:w="990"/>
        <w:gridCol w:w="990"/>
      </w:tblGrid>
      <w:tr w:rsidR="002476C5" w14:paraId="6161B735" w14:textId="77777777" w:rsidTr="00E75B7E">
        <w:tc>
          <w:tcPr>
            <w:tcW w:w="1998" w:type="dxa"/>
            <w:tcBorders>
              <w:top w:val="single" w:sz="8" w:space="0" w:color="4BACC6"/>
              <w:left w:val="single" w:sz="8" w:space="0" w:color="4BACC6"/>
              <w:bottom w:val="single" w:sz="8" w:space="0" w:color="4BACC6"/>
              <w:right w:val="single" w:sz="8" w:space="0" w:color="4BACC6"/>
            </w:tcBorders>
            <w:shd w:val="clear" w:color="auto" w:fill="FFFFFF"/>
          </w:tcPr>
          <w:p w14:paraId="0A44959A" w14:textId="77777777" w:rsidR="002476C5" w:rsidRDefault="002476C5" w:rsidP="00B15831"/>
        </w:tc>
        <w:tc>
          <w:tcPr>
            <w:tcW w:w="1080" w:type="dxa"/>
            <w:tcBorders>
              <w:top w:val="single" w:sz="8" w:space="0" w:color="4BACC6"/>
              <w:left w:val="single" w:sz="8" w:space="0" w:color="4BACC6"/>
              <w:bottom w:val="single" w:sz="8" w:space="0" w:color="4BACC6"/>
              <w:right w:val="single" w:sz="8" w:space="0" w:color="4BACC6"/>
            </w:tcBorders>
            <w:shd w:val="clear" w:color="auto" w:fill="EDF6F9"/>
            <w:hideMark/>
          </w:tcPr>
          <w:p w14:paraId="042BDD09" w14:textId="77777777" w:rsidR="002476C5" w:rsidRDefault="002476C5" w:rsidP="00B15831">
            <w:r>
              <w:t>5</w:t>
            </w:r>
          </w:p>
        </w:tc>
        <w:tc>
          <w:tcPr>
            <w:tcW w:w="990" w:type="dxa"/>
            <w:tcBorders>
              <w:top w:val="single" w:sz="8" w:space="0" w:color="4BACC6"/>
              <w:left w:val="single" w:sz="8" w:space="0" w:color="4BACC6"/>
              <w:bottom w:val="single" w:sz="8" w:space="0" w:color="4BACC6"/>
              <w:right w:val="single" w:sz="8" w:space="0" w:color="4BACC6"/>
            </w:tcBorders>
            <w:shd w:val="clear" w:color="auto" w:fill="EDF6F9"/>
            <w:hideMark/>
          </w:tcPr>
          <w:p w14:paraId="21CB5C91" w14:textId="77777777" w:rsidR="002476C5" w:rsidRDefault="002476C5" w:rsidP="00B15831">
            <w:r>
              <w:t>4</w:t>
            </w:r>
          </w:p>
        </w:tc>
        <w:tc>
          <w:tcPr>
            <w:tcW w:w="900" w:type="dxa"/>
            <w:tcBorders>
              <w:top w:val="single" w:sz="8" w:space="0" w:color="4BACC6"/>
              <w:left w:val="single" w:sz="8" w:space="0" w:color="4BACC6"/>
              <w:bottom w:val="single" w:sz="8" w:space="0" w:color="4BACC6"/>
              <w:right w:val="single" w:sz="8" w:space="0" w:color="4BACC6"/>
            </w:tcBorders>
            <w:shd w:val="clear" w:color="auto" w:fill="EDF6F9"/>
            <w:hideMark/>
          </w:tcPr>
          <w:p w14:paraId="11AAE64B" w14:textId="77777777" w:rsidR="002476C5" w:rsidRDefault="002476C5" w:rsidP="00B15831">
            <w:r>
              <w:t>3</w:t>
            </w:r>
          </w:p>
        </w:tc>
        <w:tc>
          <w:tcPr>
            <w:tcW w:w="990" w:type="dxa"/>
            <w:tcBorders>
              <w:top w:val="single" w:sz="8" w:space="0" w:color="4BACC6"/>
              <w:left w:val="single" w:sz="8" w:space="0" w:color="4BACC6"/>
              <w:bottom w:val="single" w:sz="8" w:space="0" w:color="4BACC6"/>
              <w:right w:val="single" w:sz="8" w:space="0" w:color="4BACC6"/>
            </w:tcBorders>
            <w:shd w:val="clear" w:color="auto" w:fill="EDF6F9"/>
            <w:hideMark/>
          </w:tcPr>
          <w:p w14:paraId="645186E3" w14:textId="77777777" w:rsidR="002476C5" w:rsidRDefault="002476C5" w:rsidP="00B15831">
            <w:r>
              <w:t>2</w:t>
            </w:r>
          </w:p>
        </w:tc>
        <w:tc>
          <w:tcPr>
            <w:tcW w:w="990" w:type="dxa"/>
            <w:tcBorders>
              <w:top w:val="single" w:sz="8" w:space="0" w:color="4BACC6"/>
              <w:left w:val="single" w:sz="8" w:space="0" w:color="4BACC6"/>
              <w:bottom w:val="single" w:sz="8" w:space="0" w:color="4BACC6"/>
              <w:right w:val="single" w:sz="8" w:space="0" w:color="4BACC6"/>
            </w:tcBorders>
            <w:shd w:val="clear" w:color="auto" w:fill="EDF6F9"/>
            <w:hideMark/>
          </w:tcPr>
          <w:p w14:paraId="26B0A2C9" w14:textId="77777777" w:rsidR="002476C5" w:rsidRDefault="002476C5" w:rsidP="00B15831">
            <w:r>
              <w:t>1</w:t>
            </w:r>
          </w:p>
        </w:tc>
      </w:tr>
      <w:tr w:rsidR="002476C5" w14:paraId="50B72ED2" w14:textId="77777777" w:rsidTr="00E75B7E">
        <w:trPr>
          <w:trHeight w:val="664"/>
        </w:trPr>
        <w:tc>
          <w:tcPr>
            <w:tcW w:w="1998" w:type="dxa"/>
            <w:tcBorders>
              <w:top w:val="single" w:sz="8" w:space="0" w:color="4BACC6"/>
              <w:left w:val="single" w:sz="8" w:space="0" w:color="4BACC6"/>
              <w:bottom w:val="single" w:sz="8" w:space="0" w:color="4BACC6"/>
              <w:right w:val="single" w:sz="8" w:space="0" w:color="4BACC6"/>
            </w:tcBorders>
            <w:shd w:val="clear" w:color="auto" w:fill="FFFFFF"/>
          </w:tcPr>
          <w:p w14:paraId="7CBE6350" w14:textId="77777777" w:rsidR="002476C5" w:rsidRDefault="002476C5" w:rsidP="00B15831">
            <w:pPr>
              <w:rPr>
                <w:u w:val="single"/>
              </w:rPr>
            </w:pPr>
            <w:r>
              <w:rPr>
                <w:u w:val="single"/>
              </w:rPr>
              <w:t>Fluency/flow</w:t>
            </w:r>
          </w:p>
          <w:p w14:paraId="2EF4E5F4" w14:textId="77777777" w:rsidR="002476C5" w:rsidRDefault="002476C5" w:rsidP="00B15831">
            <w:pPr>
              <w:rPr>
                <w:sz w:val="16"/>
                <w:szCs w:val="16"/>
              </w:rPr>
            </w:pPr>
            <w:r>
              <w:rPr>
                <w:sz w:val="16"/>
                <w:szCs w:val="16"/>
              </w:rPr>
              <w:t>(with 5 being very fluent and 1 being not fluent.</w:t>
            </w:r>
            <w:r w:rsidR="00B313D5">
              <w:rPr>
                <w:sz w:val="16"/>
                <w:szCs w:val="16"/>
              </w:rPr>
              <w:t>)</w:t>
            </w:r>
          </w:p>
          <w:p w14:paraId="04269F15" w14:textId="77777777" w:rsidR="002476C5" w:rsidRDefault="002476C5" w:rsidP="00B15831">
            <w:pPr>
              <w:rPr>
                <w:sz w:val="16"/>
                <w:szCs w:val="16"/>
              </w:rPr>
            </w:pPr>
          </w:p>
        </w:tc>
        <w:tc>
          <w:tcPr>
            <w:tcW w:w="1080" w:type="dxa"/>
            <w:tcBorders>
              <w:top w:val="single" w:sz="8" w:space="0" w:color="4BACC6"/>
              <w:left w:val="single" w:sz="8" w:space="0" w:color="4BACC6"/>
              <w:bottom w:val="single" w:sz="8" w:space="0" w:color="4BACC6"/>
              <w:right w:val="single" w:sz="8" w:space="0" w:color="4BACC6"/>
            </w:tcBorders>
            <w:shd w:val="clear" w:color="auto" w:fill="A5D5E2"/>
          </w:tcPr>
          <w:p w14:paraId="58B18926" w14:textId="77777777" w:rsidR="002476C5" w:rsidRDefault="002476C5" w:rsidP="00B15831"/>
        </w:tc>
        <w:tc>
          <w:tcPr>
            <w:tcW w:w="990" w:type="dxa"/>
            <w:tcBorders>
              <w:top w:val="single" w:sz="8" w:space="0" w:color="4BACC6"/>
              <w:left w:val="single" w:sz="8" w:space="0" w:color="4BACC6"/>
              <w:bottom w:val="single" w:sz="8" w:space="0" w:color="4BACC6"/>
              <w:right w:val="single" w:sz="8" w:space="0" w:color="4BACC6"/>
            </w:tcBorders>
            <w:shd w:val="clear" w:color="auto" w:fill="A5D5E2"/>
          </w:tcPr>
          <w:p w14:paraId="2DE74A34" w14:textId="77777777" w:rsidR="002476C5" w:rsidRDefault="002476C5" w:rsidP="00B15831"/>
        </w:tc>
        <w:tc>
          <w:tcPr>
            <w:tcW w:w="900" w:type="dxa"/>
            <w:tcBorders>
              <w:top w:val="single" w:sz="8" w:space="0" w:color="4BACC6"/>
              <w:left w:val="single" w:sz="8" w:space="0" w:color="4BACC6"/>
              <w:bottom w:val="single" w:sz="8" w:space="0" w:color="4BACC6"/>
              <w:right w:val="single" w:sz="8" w:space="0" w:color="4BACC6"/>
            </w:tcBorders>
            <w:shd w:val="clear" w:color="auto" w:fill="A5D5E2"/>
          </w:tcPr>
          <w:p w14:paraId="1D1666BD" w14:textId="77777777" w:rsidR="002476C5" w:rsidRDefault="002476C5" w:rsidP="00B15831"/>
        </w:tc>
        <w:tc>
          <w:tcPr>
            <w:tcW w:w="990" w:type="dxa"/>
            <w:tcBorders>
              <w:top w:val="single" w:sz="8" w:space="0" w:color="4BACC6"/>
              <w:left w:val="single" w:sz="8" w:space="0" w:color="4BACC6"/>
              <w:bottom w:val="single" w:sz="8" w:space="0" w:color="4BACC6"/>
              <w:right w:val="single" w:sz="8" w:space="0" w:color="4BACC6"/>
            </w:tcBorders>
            <w:shd w:val="clear" w:color="auto" w:fill="A5D5E2"/>
          </w:tcPr>
          <w:p w14:paraId="7F701CD3" w14:textId="77777777" w:rsidR="002476C5" w:rsidRDefault="002476C5" w:rsidP="00B15831"/>
        </w:tc>
        <w:tc>
          <w:tcPr>
            <w:tcW w:w="990" w:type="dxa"/>
            <w:tcBorders>
              <w:top w:val="single" w:sz="8" w:space="0" w:color="4BACC6"/>
              <w:left w:val="single" w:sz="8" w:space="0" w:color="4BACC6"/>
              <w:bottom w:val="single" w:sz="8" w:space="0" w:color="4BACC6"/>
              <w:right w:val="single" w:sz="8" w:space="0" w:color="4BACC6"/>
            </w:tcBorders>
            <w:shd w:val="clear" w:color="auto" w:fill="A5D5E2"/>
          </w:tcPr>
          <w:p w14:paraId="0B0EC563" w14:textId="77777777" w:rsidR="002476C5" w:rsidRDefault="002476C5" w:rsidP="00B15831"/>
        </w:tc>
      </w:tr>
      <w:tr w:rsidR="002476C5" w14:paraId="727EE67F" w14:textId="77777777" w:rsidTr="00E75B7E">
        <w:trPr>
          <w:trHeight w:val="790"/>
        </w:trPr>
        <w:tc>
          <w:tcPr>
            <w:tcW w:w="1998" w:type="dxa"/>
            <w:tcBorders>
              <w:top w:val="single" w:sz="8" w:space="0" w:color="4BACC6"/>
              <w:left w:val="single" w:sz="8" w:space="0" w:color="4BACC6"/>
              <w:bottom w:val="single" w:sz="8" w:space="0" w:color="4BACC6"/>
              <w:right w:val="single" w:sz="8" w:space="0" w:color="4BACC6"/>
            </w:tcBorders>
            <w:shd w:val="clear" w:color="auto" w:fill="FFFFFF"/>
            <w:hideMark/>
          </w:tcPr>
          <w:p w14:paraId="1E8C0F8C" w14:textId="77777777" w:rsidR="002476C5" w:rsidRDefault="002476C5" w:rsidP="00B15831">
            <w:pPr>
              <w:rPr>
                <w:u w:val="single"/>
              </w:rPr>
            </w:pPr>
            <w:r>
              <w:rPr>
                <w:u w:val="single"/>
              </w:rPr>
              <w:t xml:space="preserve">Grammar </w:t>
            </w:r>
          </w:p>
          <w:p w14:paraId="7E3D3EDA" w14:textId="77777777" w:rsidR="002476C5" w:rsidRDefault="002476C5" w:rsidP="00B15831">
            <w:pPr>
              <w:rPr>
                <w:sz w:val="16"/>
                <w:szCs w:val="16"/>
              </w:rPr>
            </w:pPr>
            <w:r>
              <w:rPr>
                <w:sz w:val="16"/>
                <w:szCs w:val="16"/>
              </w:rPr>
              <w:t xml:space="preserve">(with 5 being very correct and 1 being many errors) </w:t>
            </w:r>
          </w:p>
        </w:tc>
        <w:tc>
          <w:tcPr>
            <w:tcW w:w="1080" w:type="dxa"/>
            <w:tcBorders>
              <w:top w:val="single" w:sz="8" w:space="0" w:color="4BACC6"/>
              <w:left w:val="single" w:sz="8" w:space="0" w:color="4BACC6"/>
              <w:bottom w:val="single" w:sz="8" w:space="0" w:color="4BACC6"/>
              <w:right w:val="single" w:sz="8" w:space="0" w:color="4BACC6"/>
            </w:tcBorders>
            <w:shd w:val="clear" w:color="auto" w:fill="D2EAF1"/>
          </w:tcPr>
          <w:p w14:paraId="0EA13EF7" w14:textId="77777777" w:rsidR="002476C5" w:rsidRDefault="002476C5" w:rsidP="00B15831"/>
        </w:tc>
        <w:tc>
          <w:tcPr>
            <w:tcW w:w="990" w:type="dxa"/>
            <w:tcBorders>
              <w:top w:val="single" w:sz="8" w:space="0" w:color="4BACC6"/>
              <w:left w:val="single" w:sz="8" w:space="0" w:color="4BACC6"/>
              <w:bottom w:val="single" w:sz="8" w:space="0" w:color="4BACC6"/>
              <w:right w:val="single" w:sz="8" w:space="0" w:color="4BACC6"/>
            </w:tcBorders>
            <w:shd w:val="clear" w:color="auto" w:fill="D2EAF1"/>
          </w:tcPr>
          <w:p w14:paraId="5AF93051" w14:textId="77777777" w:rsidR="002476C5" w:rsidRDefault="002476C5" w:rsidP="00B15831"/>
        </w:tc>
        <w:tc>
          <w:tcPr>
            <w:tcW w:w="900" w:type="dxa"/>
            <w:tcBorders>
              <w:top w:val="single" w:sz="8" w:space="0" w:color="4BACC6"/>
              <w:left w:val="single" w:sz="8" w:space="0" w:color="4BACC6"/>
              <w:bottom w:val="single" w:sz="8" w:space="0" w:color="4BACC6"/>
              <w:right w:val="single" w:sz="8" w:space="0" w:color="4BACC6"/>
            </w:tcBorders>
            <w:shd w:val="clear" w:color="auto" w:fill="D2EAF1"/>
          </w:tcPr>
          <w:p w14:paraId="24BF822C" w14:textId="77777777" w:rsidR="002476C5" w:rsidRDefault="002476C5" w:rsidP="00B15831"/>
        </w:tc>
        <w:tc>
          <w:tcPr>
            <w:tcW w:w="990" w:type="dxa"/>
            <w:tcBorders>
              <w:top w:val="single" w:sz="8" w:space="0" w:color="4BACC6"/>
              <w:left w:val="single" w:sz="8" w:space="0" w:color="4BACC6"/>
              <w:bottom w:val="single" w:sz="8" w:space="0" w:color="4BACC6"/>
              <w:right w:val="single" w:sz="8" w:space="0" w:color="4BACC6"/>
            </w:tcBorders>
            <w:shd w:val="clear" w:color="auto" w:fill="D2EAF1"/>
          </w:tcPr>
          <w:p w14:paraId="61F1974B" w14:textId="77777777" w:rsidR="002476C5" w:rsidRDefault="002476C5" w:rsidP="00B15831"/>
        </w:tc>
        <w:tc>
          <w:tcPr>
            <w:tcW w:w="990" w:type="dxa"/>
            <w:tcBorders>
              <w:top w:val="single" w:sz="8" w:space="0" w:color="4BACC6"/>
              <w:left w:val="single" w:sz="8" w:space="0" w:color="4BACC6"/>
              <w:bottom w:val="single" w:sz="8" w:space="0" w:color="4BACC6"/>
              <w:right w:val="single" w:sz="8" w:space="0" w:color="4BACC6"/>
            </w:tcBorders>
            <w:shd w:val="clear" w:color="auto" w:fill="D2EAF1"/>
          </w:tcPr>
          <w:p w14:paraId="0C45F2C3" w14:textId="77777777" w:rsidR="002476C5" w:rsidRDefault="002476C5" w:rsidP="00B15831"/>
        </w:tc>
      </w:tr>
      <w:tr w:rsidR="002476C5" w14:paraId="4A584A01" w14:textId="77777777" w:rsidTr="00E75B7E">
        <w:trPr>
          <w:trHeight w:val="1690"/>
        </w:trPr>
        <w:tc>
          <w:tcPr>
            <w:tcW w:w="1998" w:type="dxa"/>
            <w:tcBorders>
              <w:top w:val="single" w:sz="8" w:space="0" w:color="4BACC6"/>
              <w:left w:val="single" w:sz="8" w:space="0" w:color="4BACC6"/>
              <w:bottom w:val="single" w:sz="8" w:space="0" w:color="4BACC6"/>
              <w:right w:val="single" w:sz="8" w:space="0" w:color="4BACC6"/>
            </w:tcBorders>
            <w:shd w:val="clear" w:color="auto" w:fill="FFFFFF"/>
            <w:hideMark/>
          </w:tcPr>
          <w:p w14:paraId="095D972B" w14:textId="77777777" w:rsidR="002476C5" w:rsidRDefault="002476C5" w:rsidP="00B15831">
            <w:pPr>
              <w:rPr>
                <w:u w:val="single"/>
              </w:rPr>
            </w:pPr>
            <w:r>
              <w:rPr>
                <w:u w:val="single"/>
              </w:rPr>
              <w:t>Terminology1</w:t>
            </w:r>
          </w:p>
          <w:p w14:paraId="667CF801" w14:textId="77777777" w:rsidR="002476C5" w:rsidRDefault="002476C5" w:rsidP="00B15831">
            <w:pPr>
              <w:rPr>
                <w:sz w:val="16"/>
                <w:szCs w:val="16"/>
              </w:rPr>
            </w:pPr>
            <w:r>
              <w:rPr>
                <w:sz w:val="16"/>
                <w:szCs w:val="16"/>
              </w:rPr>
              <w:t>(consider the DIFFICULTY of words, with 5 being very easy for an IEP student to understand and 1 being very difficult for them to understand)</w:t>
            </w:r>
          </w:p>
        </w:tc>
        <w:tc>
          <w:tcPr>
            <w:tcW w:w="1080" w:type="dxa"/>
            <w:tcBorders>
              <w:top w:val="single" w:sz="8" w:space="0" w:color="4BACC6"/>
              <w:left w:val="single" w:sz="8" w:space="0" w:color="4BACC6"/>
              <w:bottom w:val="single" w:sz="8" w:space="0" w:color="4BACC6"/>
              <w:right w:val="single" w:sz="8" w:space="0" w:color="4BACC6"/>
            </w:tcBorders>
            <w:shd w:val="clear" w:color="auto" w:fill="A5D5E2"/>
          </w:tcPr>
          <w:p w14:paraId="63431EB8" w14:textId="77777777" w:rsidR="002476C5" w:rsidRDefault="002476C5" w:rsidP="00B15831"/>
        </w:tc>
        <w:tc>
          <w:tcPr>
            <w:tcW w:w="990" w:type="dxa"/>
            <w:tcBorders>
              <w:top w:val="single" w:sz="8" w:space="0" w:color="4BACC6"/>
              <w:left w:val="single" w:sz="8" w:space="0" w:color="4BACC6"/>
              <w:bottom w:val="single" w:sz="8" w:space="0" w:color="4BACC6"/>
              <w:right w:val="single" w:sz="8" w:space="0" w:color="4BACC6"/>
            </w:tcBorders>
            <w:shd w:val="clear" w:color="auto" w:fill="A5D5E2"/>
          </w:tcPr>
          <w:p w14:paraId="20FE6950" w14:textId="77777777" w:rsidR="002476C5" w:rsidRDefault="002476C5" w:rsidP="00B15831"/>
        </w:tc>
        <w:tc>
          <w:tcPr>
            <w:tcW w:w="900" w:type="dxa"/>
            <w:tcBorders>
              <w:top w:val="single" w:sz="8" w:space="0" w:color="4BACC6"/>
              <w:left w:val="single" w:sz="8" w:space="0" w:color="4BACC6"/>
              <w:bottom w:val="single" w:sz="8" w:space="0" w:color="4BACC6"/>
              <w:right w:val="single" w:sz="8" w:space="0" w:color="4BACC6"/>
            </w:tcBorders>
            <w:shd w:val="clear" w:color="auto" w:fill="A5D5E2"/>
          </w:tcPr>
          <w:p w14:paraId="5B1AEE30" w14:textId="77777777" w:rsidR="002476C5" w:rsidRDefault="002476C5" w:rsidP="00B15831"/>
        </w:tc>
        <w:tc>
          <w:tcPr>
            <w:tcW w:w="990" w:type="dxa"/>
            <w:tcBorders>
              <w:top w:val="single" w:sz="8" w:space="0" w:color="4BACC6"/>
              <w:left w:val="single" w:sz="8" w:space="0" w:color="4BACC6"/>
              <w:bottom w:val="single" w:sz="8" w:space="0" w:color="4BACC6"/>
              <w:right w:val="single" w:sz="8" w:space="0" w:color="4BACC6"/>
            </w:tcBorders>
            <w:shd w:val="clear" w:color="auto" w:fill="A5D5E2"/>
          </w:tcPr>
          <w:p w14:paraId="33309642" w14:textId="77777777" w:rsidR="002476C5" w:rsidRDefault="002476C5" w:rsidP="00B15831"/>
        </w:tc>
        <w:tc>
          <w:tcPr>
            <w:tcW w:w="990" w:type="dxa"/>
            <w:tcBorders>
              <w:top w:val="single" w:sz="8" w:space="0" w:color="4BACC6"/>
              <w:left w:val="single" w:sz="8" w:space="0" w:color="4BACC6"/>
              <w:bottom w:val="single" w:sz="8" w:space="0" w:color="4BACC6"/>
              <w:right w:val="single" w:sz="8" w:space="0" w:color="4BACC6"/>
            </w:tcBorders>
            <w:shd w:val="clear" w:color="auto" w:fill="A5D5E2"/>
          </w:tcPr>
          <w:p w14:paraId="6A012E40" w14:textId="77777777" w:rsidR="002476C5" w:rsidRDefault="002476C5" w:rsidP="00B15831"/>
        </w:tc>
      </w:tr>
      <w:tr w:rsidR="002476C5" w14:paraId="728D8B38" w14:textId="77777777" w:rsidTr="00E75B7E">
        <w:trPr>
          <w:trHeight w:val="1780"/>
        </w:trPr>
        <w:tc>
          <w:tcPr>
            <w:tcW w:w="1998" w:type="dxa"/>
            <w:tcBorders>
              <w:top w:val="single" w:sz="8" w:space="0" w:color="4BACC6"/>
              <w:left w:val="single" w:sz="8" w:space="0" w:color="4BACC6"/>
              <w:bottom w:val="single" w:sz="8" w:space="0" w:color="4BACC6"/>
              <w:right w:val="single" w:sz="8" w:space="0" w:color="4BACC6"/>
            </w:tcBorders>
            <w:shd w:val="clear" w:color="auto" w:fill="FFFFFF"/>
            <w:hideMark/>
          </w:tcPr>
          <w:p w14:paraId="381BF2C3" w14:textId="77777777" w:rsidR="002476C5" w:rsidRDefault="002476C5" w:rsidP="00B15831">
            <w:r>
              <w:rPr>
                <w:u w:val="single"/>
              </w:rPr>
              <w:t xml:space="preserve">Terminology2 </w:t>
            </w:r>
            <w:r>
              <w:rPr>
                <w:sz w:val="16"/>
                <w:szCs w:val="16"/>
              </w:rPr>
              <w:t>(correct WORD CHOICES compared to English feedback-- with 5 being very accurate and 1 showing very frequent errors)</w:t>
            </w:r>
          </w:p>
        </w:tc>
        <w:tc>
          <w:tcPr>
            <w:tcW w:w="1080" w:type="dxa"/>
            <w:tcBorders>
              <w:top w:val="single" w:sz="8" w:space="0" w:color="4BACC6"/>
              <w:left w:val="single" w:sz="8" w:space="0" w:color="4BACC6"/>
              <w:bottom w:val="single" w:sz="8" w:space="0" w:color="4BACC6"/>
              <w:right w:val="single" w:sz="8" w:space="0" w:color="4BACC6"/>
            </w:tcBorders>
            <w:shd w:val="clear" w:color="auto" w:fill="D2EAF1"/>
          </w:tcPr>
          <w:p w14:paraId="233CF9FC" w14:textId="77777777" w:rsidR="002476C5" w:rsidRDefault="002476C5" w:rsidP="00B15831"/>
        </w:tc>
        <w:tc>
          <w:tcPr>
            <w:tcW w:w="990" w:type="dxa"/>
            <w:tcBorders>
              <w:top w:val="single" w:sz="8" w:space="0" w:color="4BACC6"/>
              <w:left w:val="single" w:sz="8" w:space="0" w:color="4BACC6"/>
              <w:bottom w:val="single" w:sz="8" w:space="0" w:color="4BACC6"/>
              <w:right w:val="single" w:sz="8" w:space="0" w:color="4BACC6"/>
            </w:tcBorders>
            <w:shd w:val="clear" w:color="auto" w:fill="D2EAF1"/>
          </w:tcPr>
          <w:p w14:paraId="754EF589" w14:textId="77777777" w:rsidR="002476C5" w:rsidRDefault="002476C5" w:rsidP="00B15831"/>
        </w:tc>
        <w:tc>
          <w:tcPr>
            <w:tcW w:w="900" w:type="dxa"/>
            <w:tcBorders>
              <w:top w:val="single" w:sz="8" w:space="0" w:color="4BACC6"/>
              <w:left w:val="single" w:sz="8" w:space="0" w:color="4BACC6"/>
              <w:bottom w:val="single" w:sz="8" w:space="0" w:color="4BACC6"/>
              <w:right w:val="single" w:sz="8" w:space="0" w:color="4BACC6"/>
            </w:tcBorders>
            <w:shd w:val="clear" w:color="auto" w:fill="D2EAF1"/>
          </w:tcPr>
          <w:p w14:paraId="712E836D" w14:textId="77777777" w:rsidR="002476C5" w:rsidRDefault="002476C5" w:rsidP="00B15831"/>
        </w:tc>
        <w:tc>
          <w:tcPr>
            <w:tcW w:w="990" w:type="dxa"/>
            <w:tcBorders>
              <w:top w:val="single" w:sz="8" w:space="0" w:color="4BACC6"/>
              <w:left w:val="single" w:sz="8" w:space="0" w:color="4BACC6"/>
              <w:bottom w:val="single" w:sz="8" w:space="0" w:color="4BACC6"/>
              <w:right w:val="single" w:sz="8" w:space="0" w:color="4BACC6"/>
            </w:tcBorders>
            <w:shd w:val="clear" w:color="auto" w:fill="D2EAF1"/>
          </w:tcPr>
          <w:p w14:paraId="2074D3C7" w14:textId="77777777" w:rsidR="002476C5" w:rsidRDefault="002476C5" w:rsidP="00B15831"/>
        </w:tc>
        <w:tc>
          <w:tcPr>
            <w:tcW w:w="990" w:type="dxa"/>
            <w:tcBorders>
              <w:top w:val="single" w:sz="8" w:space="0" w:color="4BACC6"/>
              <w:left w:val="single" w:sz="8" w:space="0" w:color="4BACC6"/>
              <w:bottom w:val="single" w:sz="8" w:space="0" w:color="4BACC6"/>
              <w:right w:val="single" w:sz="8" w:space="0" w:color="4BACC6"/>
            </w:tcBorders>
            <w:shd w:val="clear" w:color="auto" w:fill="D2EAF1"/>
          </w:tcPr>
          <w:p w14:paraId="3CED316A" w14:textId="77777777" w:rsidR="002476C5" w:rsidRDefault="002476C5" w:rsidP="00B15831"/>
        </w:tc>
      </w:tr>
      <w:tr w:rsidR="002476C5" w14:paraId="48096E7F" w14:textId="77777777" w:rsidTr="00E75B7E">
        <w:trPr>
          <w:trHeight w:val="970"/>
        </w:trPr>
        <w:tc>
          <w:tcPr>
            <w:tcW w:w="1998" w:type="dxa"/>
            <w:tcBorders>
              <w:top w:val="single" w:sz="8" w:space="0" w:color="4BACC6"/>
              <w:left w:val="single" w:sz="8" w:space="0" w:color="4BACC6"/>
              <w:bottom w:val="single" w:sz="8" w:space="0" w:color="4BACC6"/>
              <w:right w:val="single" w:sz="8" w:space="0" w:color="4BACC6"/>
            </w:tcBorders>
            <w:shd w:val="clear" w:color="auto" w:fill="FFFFFF"/>
            <w:hideMark/>
          </w:tcPr>
          <w:p w14:paraId="3B22C9C5" w14:textId="77777777" w:rsidR="002476C5" w:rsidRDefault="002476C5" w:rsidP="00B15831">
            <w:pPr>
              <w:rPr>
                <w:u w:val="single"/>
              </w:rPr>
            </w:pPr>
            <w:r>
              <w:rPr>
                <w:u w:val="single"/>
              </w:rPr>
              <w:t>Mechanics</w:t>
            </w:r>
          </w:p>
          <w:p w14:paraId="40A37018" w14:textId="77777777" w:rsidR="002476C5" w:rsidRDefault="002476C5" w:rsidP="00B15831">
            <w:pPr>
              <w:rPr>
                <w:sz w:val="16"/>
                <w:szCs w:val="16"/>
              </w:rPr>
            </w:pPr>
            <w:r>
              <w:rPr>
                <w:sz w:val="16"/>
                <w:szCs w:val="16"/>
              </w:rPr>
              <w:t>(with 5 meaning very accurate mechanics and 1 being many errors)</w:t>
            </w:r>
          </w:p>
        </w:tc>
        <w:tc>
          <w:tcPr>
            <w:tcW w:w="1080" w:type="dxa"/>
            <w:tcBorders>
              <w:top w:val="single" w:sz="8" w:space="0" w:color="4BACC6"/>
              <w:left w:val="single" w:sz="8" w:space="0" w:color="4BACC6"/>
              <w:bottom w:val="single" w:sz="8" w:space="0" w:color="4BACC6"/>
              <w:right w:val="single" w:sz="8" w:space="0" w:color="4BACC6"/>
            </w:tcBorders>
            <w:shd w:val="clear" w:color="auto" w:fill="A5D5E2"/>
          </w:tcPr>
          <w:p w14:paraId="59102747" w14:textId="77777777" w:rsidR="002476C5" w:rsidRDefault="002476C5" w:rsidP="00B15831"/>
        </w:tc>
        <w:tc>
          <w:tcPr>
            <w:tcW w:w="990" w:type="dxa"/>
            <w:tcBorders>
              <w:top w:val="single" w:sz="8" w:space="0" w:color="4BACC6"/>
              <w:left w:val="single" w:sz="8" w:space="0" w:color="4BACC6"/>
              <w:bottom w:val="single" w:sz="8" w:space="0" w:color="4BACC6"/>
              <w:right w:val="single" w:sz="8" w:space="0" w:color="4BACC6"/>
            </w:tcBorders>
            <w:shd w:val="clear" w:color="auto" w:fill="A5D5E2"/>
          </w:tcPr>
          <w:p w14:paraId="5BBFB179" w14:textId="77777777" w:rsidR="002476C5" w:rsidRDefault="002476C5" w:rsidP="00B15831"/>
        </w:tc>
        <w:tc>
          <w:tcPr>
            <w:tcW w:w="900" w:type="dxa"/>
            <w:tcBorders>
              <w:top w:val="single" w:sz="8" w:space="0" w:color="4BACC6"/>
              <w:left w:val="single" w:sz="8" w:space="0" w:color="4BACC6"/>
              <w:bottom w:val="single" w:sz="8" w:space="0" w:color="4BACC6"/>
              <w:right w:val="single" w:sz="8" w:space="0" w:color="4BACC6"/>
            </w:tcBorders>
            <w:shd w:val="clear" w:color="auto" w:fill="A5D5E2"/>
          </w:tcPr>
          <w:p w14:paraId="64085143" w14:textId="77777777" w:rsidR="002476C5" w:rsidRDefault="002476C5" w:rsidP="00B15831"/>
        </w:tc>
        <w:tc>
          <w:tcPr>
            <w:tcW w:w="990" w:type="dxa"/>
            <w:tcBorders>
              <w:top w:val="single" w:sz="8" w:space="0" w:color="4BACC6"/>
              <w:left w:val="single" w:sz="8" w:space="0" w:color="4BACC6"/>
              <w:bottom w:val="single" w:sz="8" w:space="0" w:color="4BACC6"/>
              <w:right w:val="single" w:sz="8" w:space="0" w:color="4BACC6"/>
            </w:tcBorders>
            <w:shd w:val="clear" w:color="auto" w:fill="A5D5E2"/>
          </w:tcPr>
          <w:p w14:paraId="2E225D2B" w14:textId="77777777" w:rsidR="002476C5" w:rsidRDefault="002476C5" w:rsidP="00B15831"/>
        </w:tc>
        <w:tc>
          <w:tcPr>
            <w:tcW w:w="990" w:type="dxa"/>
            <w:tcBorders>
              <w:top w:val="single" w:sz="8" w:space="0" w:color="4BACC6"/>
              <w:left w:val="single" w:sz="8" w:space="0" w:color="4BACC6"/>
              <w:bottom w:val="single" w:sz="8" w:space="0" w:color="4BACC6"/>
              <w:right w:val="single" w:sz="8" w:space="0" w:color="4BACC6"/>
            </w:tcBorders>
            <w:shd w:val="clear" w:color="auto" w:fill="A5D5E2"/>
          </w:tcPr>
          <w:p w14:paraId="775D0EB0" w14:textId="77777777" w:rsidR="002476C5" w:rsidRDefault="002476C5" w:rsidP="00B15831"/>
        </w:tc>
      </w:tr>
    </w:tbl>
    <w:p w14:paraId="2CE0E205" w14:textId="77777777" w:rsidR="002476C5" w:rsidRPr="003275E0" w:rsidRDefault="003275E0" w:rsidP="003275E0">
      <w:pPr>
        <w:ind w:left="1440" w:firstLine="720"/>
        <w:rPr>
          <w:i/>
          <w:sz w:val="16"/>
          <w:szCs w:val="16"/>
        </w:rPr>
      </w:pPr>
      <w:r>
        <w:rPr>
          <w:i/>
          <w:sz w:val="16"/>
          <w:szCs w:val="16"/>
        </w:rPr>
        <w:t xml:space="preserve">Adapted from </w:t>
      </w:r>
      <w:r w:rsidRPr="003275E0">
        <w:rPr>
          <w:i/>
          <w:sz w:val="16"/>
          <w:szCs w:val="16"/>
        </w:rPr>
        <w:t>Goff-Khouri’s rubric</w:t>
      </w:r>
      <w:r w:rsidRPr="003275E0">
        <w:rPr>
          <w:i/>
          <w:color w:val="000000" w:themeColor="text1"/>
          <w:sz w:val="16"/>
          <w:szCs w:val="16"/>
        </w:rPr>
        <w:t>, adapted from Heaton, 1990, p. 110</w:t>
      </w:r>
    </w:p>
    <w:p w14:paraId="4A4B922A" w14:textId="77777777" w:rsidR="003275E0" w:rsidRDefault="003275E0" w:rsidP="00B15831"/>
    <w:p w14:paraId="50331F83" w14:textId="77777777" w:rsidR="002476C5" w:rsidRDefault="002476C5" w:rsidP="00B15831">
      <w:r>
        <w:t>Please use this space to give any specific examples that you think I should consider:</w:t>
      </w:r>
    </w:p>
    <w:sectPr w:rsidR="002476C5">
      <w:head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C0F7E" w14:textId="77777777" w:rsidR="00482C2E" w:rsidRDefault="00482C2E">
      <w:r>
        <w:separator/>
      </w:r>
    </w:p>
  </w:endnote>
  <w:endnote w:type="continuationSeparator" w:id="0">
    <w:p w14:paraId="444FD26B" w14:textId="77777777" w:rsidR="00482C2E" w:rsidRDefault="00482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altName w:val="Cambria"/>
    <w:charset w:val="00"/>
    <w:family w:val="roman"/>
    <w:pitch w:val="variable"/>
    <w:sig w:usb0="E00002AF" w:usb1="5000607B"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455EE" w14:textId="77777777" w:rsidR="00482C2E" w:rsidRDefault="00482C2E">
      <w:r>
        <w:separator/>
      </w:r>
    </w:p>
  </w:footnote>
  <w:footnote w:type="continuationSeparator" w:id="0">
    <w:p w14:paraId="0726002D" w14:textId="77777777" w:rsidR="00482C2E" w:rsidRDefault="00482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3791993"/>
      <w:docPartObj>
        <w:docPartGallery w:val="Page Numbers (Top of Page)"/>
        <w:docPartUnique/>
      </w:docPartObj>
    </w:sdtPr>
    <w:sdtEndPr>
      <w:rPr>
        <w:noProof/>
      </w:rPr>
    </w:sdtEndPr>
    <w:sdtContent>
      <w:p w14:paraId="6A65A512" w14:textId="77777777" w:rsidR="00961DDC" w:rsidRDefault="00961DDC" w:rsidP="00961DDC">
        <w:pPr>
          <w:pStyle w:val="Header"/>
        </w:pPr>
        <w:r>
          <w:t>PERCEPTIONS OF L1 FEEDBACK IN AWE:  A CASE STUDY</w:t>
        </w:r>
      </w:p>
      <w:p w14:paraId="587A80AC" w14:textId="60CC8B5C" w:rsidR="00C733D9" w:rsidRDefault="002476C5">
        <w:pPr>
          <w:pStyle w:val="Header"/>
          <w:jc w:val="right"/>
        </w:pPr>
        <w:r>
          <w:fldChar w:fldCharType="begin"/>
        </w:r>
        <w:r>
          <w:instrText xml:space="preserve"> PAGE   \* MERGEFORMAT </w:instrText>
        </w:r>
        <w:r>
          <w:fldChar w:fldCharType="separate"/>
        </w:r>
        <w:r w:rsidR="00BB3E5D">
          <w:rPr>
            <w:noProof/>
          </w:rPr>
          <w:t>1</w:t>
        </w:r>
        <w:r>
          <w:rPr>
            <w:noProof/>
          </w:rPr>
          <w:fldChar w:fldCharType="end"/>
        </w:r>
      </w:p>
    </w:sdtContent>
  </w:sdt>
  <w:p w14:paraId="6EA73E38" w14:textId="77777777" w:rsidR="00961DDC" w:rsidRDefault="00961D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E4538"/>
    <w:multiLevelType w:val="hybridMultilevel"/>
    <w:tmpl w:val="90766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6C5"/>
    <w:rsid w:val="00037EB3"/>
    <w:rsid w:val="000800B6"/>
    <w:rsid w:val="001531ED"/>
    <w:rsid w:val="00157A0D"/>
    <w:rsid w:val="00221469"/>
    <w:rsid w:val="00235DAA"/>
    <w:rsid w:val="002476C5"/>
    <w:rsid w:val="003275E0"/>
    <w:rsid w:val="003E2467"/>
    <w:rsid w:val="0042701D"/>
    <w:rsid w:val="0043564D"/>
    <w:rsid w:val="00482C2E"/>
    <w:rsid w:val="0060214D"/>
    <w:rsid w:val="00645141"/>
    <w:rsid w:val="00713933"/>
    <w:rsid w:val="00723CBA"/>
    <w:rsid w:val="00726D77"/>
    <w:rsid w:val="007A6301"/>
    <w:rsid w:val="008765C6"/>
    <w:rsid w:val="008E2947"/>
    <w:rsid w:val="00961DDC"/>
    <w:rsid w:val="00A10BC6"/>
    <w:rsid w:val="00AC6147"/>
    <w:rsid w:val="00AE54F1"/>
    <w:rsid w:val="00B15831"/>
    <w:rsid w:val="00B313D5"/>
    <w:rsid w:val="00BB3E5D"/>
    <w:rsid w:val="00C56330"/>
    <w:rsid w:val="00CE4301"/>
    <w:rsid w:val="00CE6192"/>
    <w:rsid w:val="00D439C9"/>
    <w:rsid w:val="00DB4F72"/>
    <w:rsid w:val="00E156DC"/>
    <w:rsid w:val="00EA13EB"/>
    <w:rsid w:val="00F96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EC7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476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2476C5"/>
    <w:rPr>
      <w:sz w:val="20"/>
      <w:szCs w:val="20"/>
    </w:rPr>
  </w:style>
  <w:style w:type="character" w:customStyle="1" w:styleId="CommentTextChar">
    <w:name w:val="Comment Text Char"/>
    <w:basedOn w:val="DefaultParagraphFont"/>
    <w:link w:val="CommentText"/>
    <w:uiPriority w:val="99"/>
    <w:rsid w:val="002476C5"/>
    <w:rPr>
      <w:rFonts w:ascii="Times New Roman" w:eastAsia="Times New Roman" w:hAnsi="Times New Roman" w:cs="Times New Roman"/>
      <w:sz w:val="20"/>
      <w:szCs w:val="20"/>
    </w:rPr>
  </w:style>
  <w:style w:type="paragraph" w:styleId="Header">
    <w:name w:val="header"/>
    <w:basedOn w:val="Normal"/>
    <w:link w:val="HeaderChar"/>
    <w:uiPriority w:val="99"/>
    <w:rsid w:val="002476C5"/>
    <w:pPr>
      <w:tabs>
        <w:tab w:val="center" w:pos="4320"/>
        <w:tab w:val="right" w:pos="8640"/>
      </w:tabs>
    </w:pPr>
  </w:style>
  <w:style w:type="character" w:customStyle="1" w:styleId="HeaderChar">
    <w:name w:val="Header Char"/>
    <w:basedOn w:val="DefaultParagraphFont"/>
    <w:link w:val="Header"/>
    <w:uiPriority w:val="99"/>
    <w:rsid w:val="002476C5"/>
    <w:rPr>
      <w:rFonts w:ascii="Times New Roman" w:eastAsia="Times New Roman" w:hAnsi="Times New Roman" w:cs="Times New Roman"/>
      <w:sz w:val="24"/>
      <w:szCs w:val="24"/>
    </w:rPr>
  </w:style>
  <w:style w:type="character" w:styleId="Emphasis">
    <w:name w:val="Emphasis"/>
    <w:uiPriority w:val="20"/>
    <w:qFormat/>
    <w:rsid w:val="002476C5"/>
    <w:rPr>
      <w:i/>
      <w:iCs/>
    </w:rPr>
  </w:style>
  <w:style w:type="paragraph" w:customStyle="1" w:styleId="ColorfulList-Accent11">
    <w:name w:val="Colorful List - Accent 11"/>
    <w:basedOn w:val="Normal"/>
    <w:uiPriority w:val="34"/>
    <w:qFormat/>
    <w:rsid w:val="002476C5"/>
    <w:pPr>
      <w:widowControl w:val="0"/>
      <w:tabs>
        <w:tab w:val="left" w:pos="709"/>
      </w:tabs>
      <w:suppressAutoHyphens/>
      <w:spacing w:after="200" w:line="276" w:lineRule="auto"/>
      <w:ind w:left="720"/>
      <w:contextualSpacing/>
    </w:pPr>
    <w:rPr>
      <w:rFonts w:eastAsia="SimSun" w:cs="Mangal"/>
      <w:color w:val="00000A"/>
      <w:szCs w:val="21"/>
      <w:lang w:eastAsia="zh-CN" w:bidi="hi-IN"/>
    </w:rPr>
  </w:style>
  <w:style w:type="character" w:customStyle="1" w:styleId="apple-converted-space">
    <w:name w:val="apple-converted-space"/>
    <w:rsid w:val="002476C5"/>
  </w:style>
  <w:style w:type="character" w:customStyle="1" w:styleId="exlavailabilitycollectionname1">
    <w:name w:val="exlavailabilitycollectionname1"/>
    <w:rsid w:val="002476C5"/>
    <w:rPr>
      <w:b w:val="0"/>
      <w:bCs w:val="0"/>
      <w:color w:val="000000"/>
    </w:rPr>
  </w:style>
  <w:style w:type="character" w:customStyle="1" w:styleId="exlavailabilitycallnumber1">
    <w:name w:val="exlavailabilitycallnumber1"/>
    <w:rsid w:val="002476C5"/>
    <w:rPr>
      <w:b w:val="0"/>
      <w:bCs w:val="0"/>
      <w:color w:val="000000"/>
    </w:rPr>
  </w:style>
  <w:style w:type="paragraph" w:styleId="BalloonText">
    <w:name w:val="Balloon Text"/>
    <w:basedOn w:val="Normal"/>
    <w:link w:val="BalloonTextChar"/>
    <w:uiPriority w:val="99"/>
    <w:semiHidden/>
    <w:unhideWhenUsed/>
    <w:rsid w:val="002476C5"/>
    <w:rPr>
      <w:rFonts w:ascii="Tahoma" w:hAnsi="Tahoma" w:cs="Tahoma"/>
      <w:sz w:val="16"/>
      <w:szCs w:val="16"/>
    </w:rPr>
  </w:style>
  <w:style w:type="character" w:customStyle="1" w:styleId="BalloonTextChar">
    <w:name w:val="Balloon Text Char"/>
    <w:basedOn w:val="DefaultParagraphFont"/>
    <w:link w:val="BalloonText"/>
    <w:uiPriority w:val="99"/>
    <w:semiHidden/>
    <w:rsid w:val="002476C5"/>
    <w:rPr>
      <w:rFonts w:ascii="Tahoma" w:eastAsia="Times New Roman" w:hAnsi="Tahoma" w:cs="Tahoma"/>
      <w:sz w:val="16"/>
      <w:szCs w:val="16"/>
    </w:rPr>
  </w:style>
  <w:style w:type="character" w:styleId="Strong">
    <w:name w:val="Strong"/>
    <w:basedOn w:val="DefaultParagraphFont"/>
    <w:uiPriority w:val="22"/>
    <w:qFormat/>
    <w:rsid w:val="00723CBA"/>
    <w:rPr>
      <w:b/>
      <w:bCs/>
    </w:rPr>
  </w:style>
  <w:style w:type="paragraph" w:styleId="Footer">
    <w:name w:val="footer"/>
    <w:basedOn w:val="Normal"/>
    <w:link w:val="FooterChar"/>
    <w:uiPriority w:val="99"/>
    <w:unhideWhenUsed/>
    <w:rsid w:val="00961DDC"/>
    <w:pPr>
      <w:tabs>
        <w:tab w:val="center" w:pos="4680"/>
        <w:tab w:val="right" w:pos="9360"/>
      </w:tabs>
    </w:pPr>
  </w:style>
  <w:style w:type="character" w:customStyle="1" w:styleId="FooterChar">
    <w:name w:val="Footer Char"/>
    <w:basedOn w:val="DefaultParagraphFont"/>
    <w:link w:val="Footer"/>
    <w:uiPriority w:val="99"/>
    <w:rsid w:val="00961DDC"/>
    <w:rPr>
      <w:rFonts w:ascii="Times New Roman" w:eastAsia="Times New Roman" w:hAnsi="Times New Roman" w:cs="Times New Roman"/>
      <w:sz w:val="24"/>
      <w:szCs w:val="24"/>
    </w:rPr>
  </w:style>
  <w:style w:type="character" w:styleId="CommentReference">
    <w:name w:val="annotation reference"/>
    <w:basedOn w:val="DefaultParagraphFont"/>
    <w:uiPriority w:val="99"/>
    <w:unhideWhenUsed/>
    <w:rsid w:val="00221469"/>
    <w:rPr>
      <w:sz w:val="16"/>
      <w:szCs w:val="16"/>
    </w:rPr>
  </w:style>
  <w:style w:type="character" w:styleId="Hyperlink">
    <w:name w:val="Hyperlink"/>
    <w:rsid w:val="00221469"/>
    <w:rPr>
      <w:color w:val="000000"/>
      <w:u w:val="none"/>
    </w:rPr>
  </w:style>
  <w:style w:type="paragraph" w:customStyle="1" w:styleId="5bibliography">
    <w:name w:val="5 bibliography"/>
    <w:basedOn w:val="Normal"/>
    <w:rsid w:val="00221469"/>
    <w:pPr>
      <w:widowControl w:val="0"/>
      <w:tabs>
        <w:tab w:val="left" w:pos="170"/>
      </w:tabs>
      <w:suppressAutoHyphens/>
      <w:autoSpaceDE w:val="0"/>
      <w:autoSpaceDN w:val="0"/>
      <w:adjustRightInd w:val="0"/>
      <w:spacing w:after="130" w:line="220" w:lineRule="atLeast"/>
      <w:ind w:left="170" w:hanging="170"/>
      <w:jc w:val="both"/>
      <w:textAlignment w:val="center"/>
    </w:pPr>
    <w:rPr>
      <w:rFonts w:ascii="Minion Pro" w:hAnsi="Minion Pro" w:cs="Minion Pro"/>
      <w:color w:val="000000"/>
      <w:sz w:val="18"/>
      <w:szCs w:val="18"/>
      <w:lang w:eastAsia="en-GB"/>
    </w:rPr>
  </w:style>
  <w:style w:type="paragraph" w:customStyle="1" w:styleId="1text">
    <w:name w:val="1 text"/>
    <w:basedOn w:val="Normal"/>
    <w:rsid w:val="00037EB3"/>
    <w:pPr>
      <w:widowControl w:val="0"/>
      <w:tabs>
        <w:tab w:val="left" w:pos="244"/>
      </w:tabs>
      <w:autoSpaceDE w:val="0"/>
      <w:autoSpaceDN w:val="0"/>
      <w:adjustRightInd w:val="0"/>
      <w:spacing w:line="260" w:lineRule="atLeast"/>
      <w:jc w:val="both"/>
      <w:textAlignment w:val="center"/>
    </w:pPr>
    <w:rPr>
      <w:rFonts w:ascii="Minion Pro" w:hAnsi="Minion Pro" w:cs="Minion Pro"/>
      <w:color w:val="000000"/>
      <w:sz w:val="21"/>
      <w:szCs w:val="21"/>
      <w:lang w:eastAsia="en-GB"/>
    </w:rPr>
  </w:style>
  <w:style w:type="paragraph" w:customStyle="1" w:styleId="1aabstract">
    <w:name w:val="1a abstract"/>
    <w:basedOn w:val="Normal"/>
    <w:rsid w:val="00037EB3"/>
    <w:pPr>
      <w:widowControl w:val="0"/>
      <w:tabs>
        <w:tab w:val="left" w:pos="244"/>
      </w:tabs>
      <w:autoSpaceDE w:val="0"/>
      <w:autoSpaceDN w:val="0"/>
      <w:adjustRightInd w:val="0"/>
      <w:spacing w:line="240" w:lineRule="atLeast"/>
      <w:jc w:val="both"/>
      <w:textAlignment w:val="center"/>
    </w:pPr>
    <w:rPr>
      <w:rFonts w:ascii="Minion Pro" w:hAnsi="Minion Pro" w:cs="Minion Pro"/>
      <w:i/>
      <w:iCs/>
      <w:color w:val="000000"/>
      <w:sz w:val="20"/>
      <w:szCs w:val="20"/>
      <w:lang w:eastAsia="en-GB"/>
    </w:rPr>
  </w:style>
  <w:style w:type="paragraph" w:customStyle="1" w:styleId="1bkeywords">
    <w:name w:val="1b keywords"/>
    <w:basedOn w:val="Normal"/>
    <w:rsid w:val="00037EB3"/>
    <w:pPr>
      <w:widowControl w:val="0"/>
      <w:tabs>
        <w:tab w:val="left" w:pos="964"/>
      </w:tabs>
      <w:autoSpaceDE w:val="0"/>
      <w:autoSpaceDN w:val="0"/>
      <w:adjustRightInd w:val="0"/>
      <w:spacing w:line="240" w:lineRule="atLeast"/>
      <w:ind w:left="964" w:hanging="964"/>
      <w:textAlignment w:val="center"/>
    </w:pPr>
    <w:rPr>
      <w:rFonts w:ascii="Minion Pro" w:hAnsi="Minion Pro" w:cs="Minion Pro"/>
      <w:smallCaps/>
      <w:color w:val="000000"/>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93/elt/41.4.241" TargetMode="External"/><Relationship Id="rId13" Type="http://schemas.openxmlformats.org/officeDocument/2006/relationships/hyperlink" Target="https://doi.org/10.1177/0265532210363144" TargetMode="External"/><Relationship Id="rId18" Type="http://schemas.openxmlformats.org/officeDocument/2006/relationships/hyperlink" Target="https://doi.org/10.1017/CBO9781139524742" TargetMode="External"/><Relationship Id="rId26" Type="http://schemas.openxmlformats.org/officeDocument/2006/relationships/hyperlink" Target="https://doi.org/10.1093/applin/11.2.129" TargetMode="External"/><Relationship Id="rId3" Type="http://schemas.openxmlformats.org/officeDocument/2006/relationships/settings" Target="settings.xml"/><Relationship Id="rId21" Type="http://schemas.openxmlformats.org/officeDocument/2006/relationships/hyperlink" Target="https://doi.org/10.1093/applin/amp040" TargetMode="External"/><Relationship Id="rId7" Type="http://schemas.openxmlformats.org/officeDocument/2006/relationships/hyperlink" Target="https://doi.org/10.3138/cmlr.54.3.314" TargetMode="External"/><Relationship Id="rId12" Type="http://schemas.openxmlformats.org/officeDocument/2006/relationships/hyperlink" Target="https://doi.org/10.11139/cj.28.2.420-459" TargetMode="External"/><Relationship Id="rId17" Type="http://schemas.openxmlformats.org/officeDocument/2006/relationships/hyperlink" Target="https://doi.org/10.1111/j.1540-4781.1996.tb01614.x" TargetMode="External"/><Relationship Id="rId25" Type="http://schemas.openxmlformats.org/officeDocument/2006/relationships/hyperlink" Target="https://doi.org/10.1111/j.1540-4781.1996.tb05468.x"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16/j.system.2003.11.007" TargetMode="External"/><Relationship Id="rId20" Type="http://schemas.openxmlformats.org/officeDocument/2006/relationships/hyperlink" Target="https://doi.org/10.1177/003368829702800106" TargetMode="External"/><Relationship Id="rId29" Type="http://schemas.openxmlformats.org/officeDocument/2006/relationships/hyperlink" Target="https://doi.org/10.1191/1362168806lr190o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138/cmlr.57.3.402" TargetMode="External"/><Relationship Id="rId24" Type="http://schemas.openxmlformats.org/officeDocument/2006/relationships/hyperlink" Target="https://doi.org/10.11139/cj.31.3.323-344"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016/j.jslw.2007.01.001" TargetMode="External"/><Relationship Id="rId23" Type="http://schemas.openxmlformats.org/officeDocument/2006/relationships/hyperlink" Target="https://doi.org/10.1177/0033688206067428" TargetMode="External"/><Relationship Id="rId28" Type="http://schemas.openxmlformats.org/officeDocument/2006/relationships/hyperlink" Target="https://doi.org/10.1016/j.jslw.2008.05.003" TargetMode="External"/><Relationship Id="rId10" Type="http://schemas.openxmlformats.org/officeDocument/2006/relationships/hyperlink" Target="https://doi.org/10.2307/344508" TargetMode="External"/><Relationship Id="rId19" Type="http://schemas.openxmlformats.org/officeDocument/2006/relationships/hyperlink" Target="https://doi.org/10.1111/j.1467-9817.1994.tb00049.x"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016/j.jslw.2007.11.004" TargetMode="External"/><Relationship Id="rId14" Type="http://schemas.openxmlformats.org/officeDocument/2006/relationships/hyperlink" Target="https://doi.org/10.1108/13673270210417664" TargetMode="External"/><Relationship Id="rId22" Type="http://schemas.openxmlformats.org/officeDocument/2006/relationships/hyperlink" Target="https://doi.org/10.1016/j.jslw.2014.10.004" TargetMode="External"/><Relationship Id="rId27" Type="http://schemas.openxmlformats.org/officeDocument/2006/relationships/hyperlink" Target="https://doi.org/10.1017/S0272263109990532" TargetMode="External"/><Relationship Id="rId30"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1753</Words>
  <Characters>9998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2017-05-30T12:13:00Z</dcterms:created>
  <dcterms:modified xsi:type="dcterms:W3CDTF">2017-05-30T12:13:00Z</dcterms:modified>
</cp:coreProperties>
</file>